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2A8B" w14:textId="77777777" w:rsidR="00DD334D" w:rsidRDefault="00DD334D" w:rsidP="00E932CA">
      <w:pPr>
        <w:spacing w:after="160" w:line="259" w:lineRule="auto"/>
        <w:jc w:val="center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Análisis Técnico y Jurídico del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Referenciamiento</w:t>
      </w:r>
      <w:proofErr w:type="spellEnd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 de Precios</w:t>
      </w:r>
    </w:p>
    <w:p w14:paraId="19540D01" w14:textId="77777777" w:rsidR="00E932CA" w:rsidRPr="00DD334D" w:rsidRDefault="00E932CA" w:rsidP="00E932CA">
      <w:pPr>
        <w:spacing w:after="160" w:line="259" w:lineRule="auto"/>
        <w:jc w:val="center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F60058A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1. Alcance del requerimiento</w:t>
      </w:r>
    </w:p>
    <w:p w14:paraId="51C16050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El servicio requerido corresponde al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Control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Interlaboratorio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un programa técnico especializado que implica la ejecución de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ensayos de aptitud bajo estándares de calidad acreditados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conforme a las exigencias establecidas por organismos nacionales e internacionales de acreditación.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Este tipo de servicio presenta una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oferta restringida en el mercado nacional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en tanto solo un número limitado de laboratorios acreditados cuentan con la infraestructura, el personal calificado y los protocolos de trazabilidad necesarios para su ejecución.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Por lo tanto, el servicio solicitado reviste un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carácter técnico especializado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cuya contratación requiere verificación estricta de idoneidad y acreditación.</w:t>
      </w:r>
    </w:p>
    <w:p w14:paraId="0298CD89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2. Gestión de búsqueda de proveedores</w:t>
      </w:r>
    </w:p>
    <w:p w14:paraId="3B11A689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La Entidad adelantó una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gestión de búsqueda y sondeo de mercado amplia y documentada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que da cumplimiento a los principios de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planeación, transparencia y selección objetiva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consagrados en la Ley 80 de 1993 y la Ley 1150 de 2007.</w:t>
      </w:r>
    </w:p>
    <w:p w14:paraId="2F2E9E3B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En desarrollo de dicha gestión:</w:t>
      </w:r>
    </w:p>
    <w:p w14:paraId="2A78FA5A" w14:textId="77777777" w:rsidR="00DD334D" w:rsidRPr="00DD334D" w:rsidRDefault="00DD334D" w:rsidP="00DD334D">
      <w:pPr>
        <w:numPr>
          <w:ilvl w:val="0"/>
          <w:numId w:val="34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Se realizó contacto inicial con siete (7) proveedores especializados del sector: </w:t>
      </w:r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Sigma QC, Centro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Lab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Quality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Consulting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, Quick,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Gamalab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Experquim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 y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Lab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 Care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.</w:t>
      </w:r>
    </w:p>
    <w:p w14:paraId="7E291C05" w14:textId="77777777" w:rsidR="00DD334D" w:rsidRPr="00DD334D" w:rsidRDefault="00DD334D" w:rsidP="00DD334D">
      <w:pPr>
        <w:numPr>
          <w:ilvl w:val="0"/>
          <w:numId w:val="34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Ante la baja respuesta del mercado, se amplió la invitación a cuatro (4) proveedores adicionales: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Biopharmcol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Peamco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Cedisalud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 y </w:t>
      </w:r>
      <w:proofErr w:type="spellStart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Lab</w:t>
      </w:r>
      <w:proofErr w:type="spellEnd"/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 xml:space="preserve"> Care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.</w:t>
      </w:r>
    </w:p>
    <w:p w14:paraId="0A24D70B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Esta actuación evidencia diligencia institucional y un esfuerzo razonable para garantizar la participación de oferentes idóneos, en observancia del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principio de planeación contractual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previsto en el artículo 25 de la Ley 80 de 1993.</w:t>
      </w:r>
    </w:p>
    <w:p w14:paraId="425A71C6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3. Respuestas del mercado</w:t>
      </w:r>
    </w:p>
    <w:p w14:paraId="22CB9C49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Del proceso de </w:t>
      </w:r>
      <w:proofErr w:type="spellStart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referenciamiento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se obtuvo la siguiente información:</w:t>
      </w:r>
    </w:p>
    <w:p w14:paraId="783770D0" w14:textId="77777777" w:rsidR="00DD334D" w:rsidRPr="00DD334D" w:rsidRDefault="00DD334D" w:rsidP="00DD334D">
      <w:pPr>
        <w:numPr>
          <w:ilvl w:val="0"/>
          <w:numId w:val="35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Experquim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y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Gamalab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presentaron cotización formal y cumplen integralmente con los requisitos técnicos y de acreditación exigidos.</w:t>
      </w:r>
    </w:p>
    <w:p w14:paraId="01EFC2AB" w14:textId="77777777" w:rsidR="00DD334D" w:rsidRPr="00DD334D" w:rsidRDefault="00DD334D" w:rsidP="00DD334D">
      <w:pPr>
        <w:numPr>
          <w:ilvl w:val="0"/>
          <w:numId w:val="35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Quick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Quality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manifestó su imposibilidad de participar por condiciones internas.</w:t>
      </w:r>
    </w:p>
    <w:p w14:paraId="660BCB32" w14:textId="77777777" w:rsidR="00DD334D" w:rsidRPr="00DD334D" w:rsidRDefault="00DD334D" w:rsidP="00DD334D">
      <w:pPr>
        <w:numPr>
          <w:ilvl w:val="0"/>
          <w:numId w:val="35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Lab</w:t>
      </w:r>
      <w:proofErr w:type="spellEnd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 Care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remitió una propuesta parcial, con limitaciones técnicas y disponibilidad incierta, además de incluir IVA en un servicio que, según el marco normativo aplicable, no se encuentra gravado.</w:t>
      </w:r>
    </w:p>
    <w:p w14:paraId="6D7F3C64" w14:textId="77777777" w:rsidR="00DD334D" w:rsidRPr="00DD334D" w:rsidRDefault="00DD334D" w:rsidP="00DD334D">
      <w:pPr>
        <w:numPr>
          <w:ilvl w:val="0"/>
          <w:numId w:val="35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Los demás proveedores contactados indicaron no contar con la acreditación requerida o no prestar actualmente el servicio.</w:t>
      </w:r>
    </w:p>
    <w:p w14:paraId="453CC981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lastRenderedPageBreak/>
        <w:t xml:space="preserve">Esta evidencia demuestra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limitación real del mercado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y, por tanto,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baja competencia efectiva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en el sector.</w:t>
      </w:r>
    </w:p>
    <w:p w14:paraId="480B3966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4. Comparabilidad y razonabilidad de precios</w:t>
      </w:r>
    </w:p>
    <w:p w14:paraId="71A5C83B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Las dos cotizaciones válidas (</w:t>
      </w:r>
      <w:proofErr w:type="spellStart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Experquim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y </w:t>
      </w:r>
      <w:proofErr w:type="spellStart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Gamalab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) presentan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coherencia económica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con una dispersión aproximada del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1%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lo que permite concluir que el valor estimado es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razonable, representativo y conforme al precio de mercado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Este análisis garantiza la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transparencia y objetividad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en la definición del presupuesto oficial, conforme a lo dispuesto en el artículo 24 numeral 5 de la Ley 80 de 1993.</w:t>
      </w:r>
    </w:p>
    <w:p w14:paraId="7FFF78E4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5. Justificación técnica y jurídica para continuar con los dos proveedores</w:t>
      </w:r>
    </w:p>
    <w:p w14:paraId="06CDAD9B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De conformidad con 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artículo 23 del Manual de Contratación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de la entidad referido al procedimiento de solicitud privada de oferta en procesos de mínima cuantía, se establece la obligación de invitar al menos tres (3) proveedores.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No obstante, la norma debe interpretarse conforme a los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principios rectores de la función administrativa y de la contratación estatal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en los que prima la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idoneidad y disponibilidad efectiva del mercado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sobre la cantidad de oferentes.</w:t>
      </w:r>
    </w:p>
    <w:p w14:paraId="1B89C0A5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En este caso se evidencia que:</w:t>
      </w:r>
    </w:p>
    <w:p w14:paraId="0EB0294D" w14:textId="77777777" w:rsidR="00DD334D" w:rsidRPr="00DD334D" w:rsidRDefault="00DD334D" w:rsidP="00DD334D">
      <w:pPr>
        <w:numPr>
          <w:ilvl w:val="0"/>
          <w:numId w:val="36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La Entidad invitó a más de tres proveedores, cumpliendo con el deber de búsqueda amplia y documentada.</w:t>
      </w:r>
    </w:p>
    <w:p w14:paraId="172D1AA9" w14:textId="77777777" w:rsidR="00DD334D" w:rsidRPr="00DD334D" w:rsidRDefault="00DD334D" w:rsidP="00DD334D">
      <w:pPr>
        <w:numPr>
          <w:ilvl w:val="0"/>
          <w:numId w:val="36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Solo dos de ellos cumplieron técnica y normativamente los requisitos exigidos.</w:t>
      </w:r>
    </w:p>
    <w:p w14:paraId="386474E6" w14:textId="77777777" w:rsidR="00DD334D" w:rsidRPr="00DD334D" w:rsidRDefault="00DD334D" w:rsidP="00DD334D">
      <w:pPr>
        <w:numPr>
          <w:ilvl w:val="0"/>
          <w:numId w:val="36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El sector presenta una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oferta restringida y especializada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por lo cual resulta materialmente imposible obtener tres cotizaciones válidas sin sacrificar los principios de calidad y eficiencia.</w:t>
      </w:r>
    </w:p>
    <w:p w14:paraId="00E57B8B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En consecuencia, y en aplicación de los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principios de eficacia, economía y celeridad administrativa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previstos en el artículo 209 de la Constitución Política y el artículo 25 de la Ley 80 de 1993, es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jurídicamente procedente continuar el proceso de contratación con los dos proveedores habilitados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garantizando la atención oportuna de la necesidad institucional y la adecuada ejecución del servicio público comprometido.</w:t>
      </w:r>
    </w:p>
    <w:p w14:paraId="7EC12AC1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6. Conclusión</w:t>
      </w:r>
    </w:p>
    <w:p w14:paraId="53923536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Con base en lo expuesto, se considera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técnica y jurídicamente procedente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adelantar la contratación con los proveedores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Experquim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y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Gamalab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en virtud de que:</w:t>
      </w:r>
    </w:p>
    <w:p w14:paraId="2B102AD1" w14:textId="77777777" w:rsidR="00DD334D" w:rsidRPr="00DD334D" w:rsidRDefault="00DD334D" w:rsidP="00DD334D">
      <w:pPr>
        <w:numPr>
          <w:ilvl w:val="0"/>
          <w:numId w:val="37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Se efectuó una búsqueda amplia y verificable del mercado.</w:t>
      </w:r>
    </w:p>
    <w:p w14:paraId="2647515E" w14:textId="77777777" w:rsidR="00DD334D" w:rsidRPr="00DD334D" w:rsidRDefault="00DD334D" w:rsidP="00DD334D">
      <w:pPr>
        <w:numPr>
          <w:ilvl w:val="0"/>
          <w:numId w:val="37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Se recibieron cotizaciones comparables y consistentes.</w:t>
      </w:r>
    </w:p>
    <w:p w14:paraId="19095AE4" w14:textId="77777777" w:rsidR="00DD334D" w:rsidRPr="00DD334D" w:rsidRDefault="00DD334D" w:rsidP="00DD334D">
      <w:pPr>
        <w:numPr>
          <w:ilvl w:val="0"/>
          <w:numId w:val="37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Los demás oferentes no cumplen con los requisitos técnicos ni de acreditación exigidos.</w:t>
      </w:r>
    </w:p>
    <w:p w14:paraId="16F0AB35" w14:textId="18B6F7A3" w:rsidR="00DD334D" w:rsidRDefault="00DD334D" w:rsidP="00DD334D">
      <w:pPr>
        <w:numPr>
          <w:ilvl w:val="0"/>
          <w:numId w:val="37"/>
        </w:num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lastRenderedPageBreak/>
        <w:t>El requerimiento debe atenderse con oportunidad para asegurar la continuidad y calidad del servicio público a cargo de la Entidad.</w:t>
      </w:r>
    </w:p>
    <w:p w14:paraId="29E4C395" w14:textId="42196C2E" w:rsidR="00DD334D" w:rsidRPr="00DD334D" w:rsidRDefault="00E932CA" w:rsidP="00E932CA">
      <w:pPr>
        <w:spacing w:after="160" w:line="259" w:lineRule="auto"/>
        <w:ind w:left="720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57324BE" wp14:editId="40CE36CF">
            <wp:simplePos x="0" y="0"/>
            <wp:positionH relativeFrom="margin">
              <wp:align>right</wp:align>
            </wp:positionH>
            <wp:positionV relativeFrom="paragraph">
              <wp:posOffset>145415</wp:posOffset>
            </wp:positionV>
            <wp:extent cx="5514975" cy="946150"/>
            <wp:effectExtent l="0" t="0" r="9525" b="6350"/>
            <wp:wrapSquare wrapText="bothSides"/>
            <wp:docPr id="21049979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FEEDD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Por tanto, se recomienda al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Comité de Contratación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autorizar la continuidad del proceso con los dos proveedores idóneos ya mencionados, en concordancia con los principios de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transparencia, responsabilidad y eficiencia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que rigen la contratación pública toda vez que, el servicio de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Control </w:t>
      </w:r>
      <w:proofErr w:type="spellStart"/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Interlaboratorio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es un insumo técnico indispensable para mantener la confiabilidad, validez y acreditación de los resultados emitidos por los laboratorios de la Entidad.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La no contratación oportuna de este servicio afectaría directamente el cumplimiento de obligaciones contractuales y compromisos institucionales frente a organismos de control y clientes, generando riesgos en la trazabilidad y calidad de los procesos analíticos. Por tanto,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la continuidad del servicio es esencial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y cualquier retraso podría comprometer la operación técnica, la reputación institucional. </w:t>
      </w:r>
    </w:p>
    <w:p w14:paraId="71EB75EA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Adicionalmente es importante resaltar que el mercado de laboratorios acreditados para ejecutar programas de Control </w:t>
      </w:r>
      <w:proofErr w:type="spellStart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Interlaboratorio</w:t>
      </w:r>
      <w:proofErr w:type="spellEnd"/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es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altamente especializado y reducido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.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/>
        <w:t xml:space="preserve">De acuerdo con los registros del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Organismo Nacional de Acreditación de Colombia (ONAC)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solo un número limitado de laboratorios posee la acreditación vigente para realizar este tipo de ensayos, lo que restringe la posibilidad de obtener tres o más cotizaciones válidas.</w:t>
      </w:r>
    </w:p>
    <w:p w14:paraId="711785D8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En este contexto, la actuación de la Entidad fue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diligente y suficiente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pues no se trató de una limitación arbitraria, sino de una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limitación natural del mercado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plenamente demostrada con las evidencias documentadas del sondeo.</w:t>
      </w:r>
    </w:p>
    <w:p w14:paraId="2E76A8C7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Consejo de Estado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, en diversos pronunciamientos, ha reiterado que </w:t>
      </w:r>
      <w:r w:rsidRPr="00DD334D">
        <w:rPr>
          <w:rFonts w:ascii="Aptos" w:eastAsia="Aptos" w:hAnsi="Aptos"/>
          <w:i/>
          <w:iCs/>
          <w:kern w:val="2"/>
          <w:sz w:val="22"/>
          <w:szCs w:val="22"/>
          <w:lang w:eastAsia="en-US"/>
          <w14:ligatures w14:val="standardContextual"/>
        </w:rPr>
        <w:t>la imposibilidad material de obtener un número determinado de ofertas no vicia el proceso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siempre que se acredite la gestión de búsqueda amplia y la existencia de condiciones de mercado limitadas (por ejemplo, Sentencia del 18 de junio de 2020, Rad. 68001-23-31-000-2012-00231-01).</w:t>
      </w:r>
    </w:p>
    <w:p w14:paraId="1935B722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El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Manual de Contratación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exige, para procesos de mínima cuantía, la invitación a un mínimo de tres (3) proveedores; sin embargo, el espíritu de esta norma no es establecer un número rígido, sino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garantizar la búsqueda de pluralidad y la competencia efectiva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.</w:t>
      </w:r>
    </w:p>
    <w:p w14:paraId="3CBF48DA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Cuando la Entidad demuestra que realizó una búsqueda más amplia (en este caso, once proveedores contactados), pero el mercado responde solo con dos ofertas válidas,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no existe incumplimiento procedimental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sino cumplimiento material del deber de búsqueda.</w:t>
      </w:r>
    </w:p>
    <w:p w14:paraId="115AA133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lastRenderedPageBreak/>
        <w:t xml:space="preserve">Así lo ha reconocido la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Agencia Nacional de Contratación Pública – Colombia Compra Eficiente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 que en sus guías de gestión contractual establece que:</w:t>
      </w:r>
    </w:p>
    <w:p w14:paraId="5CE6D860" w14:textId="77777777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“Cuando el mercado no ofrezca pluralidad suficiente, y la Entidad acredite la gestión razonable de búsqueda de oferentes, puede continuar el proceso con las cotizaciones válidas recibidas, sin que ello configure vulneración al principio de selección objetiva.”</w:t>
      </w:r>
    </w:p>
    <w:p w14:paraId="1F07B338" w14:textId="77777777" w:rsid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Por lo anterior, el Comité debe considerar que la </w:t>
      </w: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decisión de avanzar en la contratación con los dos proveedores válidos es la única opción viable y jurídicamente segura</w:t>
      </w:r>
      <w:r w:rsidRPr="00DD334D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para garantizar la continuidad y cumplimiento institucional.</w:t>
      </w:r>
    </w:p>
    <w:p w14:paraId="0206F3FB" w14:textId="77777777" w:rsid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321294E7" w14:textId="1687C4FC" w:rsid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Suscribe,</w:t>
      </w:r>
    </w:p>
    <w:p w14:paraId="2467DF30" w14:textId="77777777" w:rsidR="00DD334D" w:rsidRDefault="00DD334D" w:rsidP="00DD334D">
      <w:pPr>
        <w:spacing w:after="160" w:line="259" w:lineRule="auto"/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0D5B77B3" w14:textId="3EA91824" w:rsidR="00DD334D" w:rsidRPr="00DD334D" w:rsidRDefault="00DD334D" w:rsidP="00DD334D">
      <w:pPr>
        <w:spacing w:after="160" w:line="259" w:lineRule="auto"/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D334D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t>COMITÉ EVALUADOR</w:t>
      </w:r>
    </w:p>
    <w:p w14:paraId="29B00FFE" w14:textId="77777777" w:rsidR="00C67ACF" w:rsidRPr="00DD334D" w:rsidRDefault="00C67ACF" w:rsidP="00DD334D">
      <w:pPr>
        <w:jc w:val="both"/>
        <w:rPr>
          <w:rFonts w:ascii="Calibri" w:hAnsi="Calibri" w:cs="Calibri"/>
          <w:sz w:val="22"/>
          <w:szCs w:val="22"/>
        </w:rPr>
      </w:pPr>
    </w:p>
    <w:p w14:paraId="48516D2A" w14:textId="50A3BEA3" w:rsidR="00636B5F" w:rsidRPr="00A21613" w:rsidRDefault="00636B5F">
      <w:pPr>
        <w:rPr>
          <w:rFonts w:ascii="Calibri" w:hAnsi="Calibri" w:cs="Calibri"/>
          <w:sz w:val="22"/>
          <w:szCs w:val="22"/>
          <w:lang w:val="es-MX"/>
        </w:rPr>
      </w:pPr>
    </w:p>
    <w:p w14:paraId="637E8B7B" w14:textId="77777777" w:rsidR="0061207E" w:rsidRPr="00A21613" w:rsidRDefault="0061207E">
      <w:pPr>
        <w:rPr>
          <w:rFonts w:ascii="Calibri" w:hAnsi="Calibri" w:cs="Calibri"/>
          <w:sz w:val="22"/>
          <w:szCs w:val="22"/>
          <w:lang w:val="es-MX"/>
        </w:rPr>
      </w:pPr>
    </w:p>
    <w:sectPr w:rsidR="0061207E" w:rsidRPr="00A21613" w:rsidSect="007A2C99">
      <w:headerReference w:type="default" r:id="rId9"/>
      <w:footerReference w:type="default" r:id="rId10"/>
      <w:pgSz w:w="12240" w:h="15840"/>
      <w:pgMar w:top="1701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CD52" w14:textId="77777777" w:rsidR="00A9241D" w:rsidRDefault="00A9241D" w:rsidP="009513A1">
      <w:r>
        <w:separator/>
      </w:r>
    </w:p>
  </w:endnote>
  <w:endnote w:type="continuationSeparator" w:id="0">
    <w:p w14:paraId="25CFD3E8" w14:textId="77777777" w:rsidR="00A9241D" w:rsidRDefault="00A9241D" w:rsidP="0095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1DEB" w14:textId="58712DD4" w:rsidR="009513A1" w:rsidRDefault="009513A1" w:rsidP="006F042E">
    <w:pPr>
      <w:pStyle w:val="Piedepgina"/>
      <w:tabs>
        <w:tab w:val="clear" w:pos="883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9F0E579" wp14:editId="0568A447">
          <wp:simplePos x="0" y="0"/>
          <wp:positionH relativeFrom="column">
            <wp:posOffset>-931545</wp:posOffset>
          </wp:positionH>
          <wp:positionV relativeFrom="paragraph">
            <wp:posOffset>-174625</wp:posOffset>
          </wp:positionV>
          <wp:extent cx="7346315" cy="685800"/>
          <wp:effectExtent l="0" t="0" r="6985" b="0"/>
          <wp:wrapNone/>
          <wp:docPr id="18444313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18510" name="Imagen 20824185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631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42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72A3" w14:textId="77777777" w:rsidR="00A9241D" w:rsidRDefault="00A9241D" w:rsidP="009513A1">
      <w:r>
        <w:separator/>
      </w:r>
    </w:p>
  </w:footnote>
  <w:footnote w:type="continuationSeparator" w:id="0">
    <w:p w14:paraId="27F9D742" w14:textId="77777777" w:rsidR="00A9241D" w:rsidRDefault="00A9241D" w:rsidP="0095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2C3E" w14:textId="71B7AEE1" w:rsidR="009513A1" w:rsidRDefault="002E7187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BCF536" wp14:editId="3BF634AB">
          <wp:simplePos x="0" y="0"/>
          <wp:positionH relativeFrom="column">
            <wp:posOffset>-925221</wp:posOffset>
          </wp:positionH>
          <wp:positionV relativeFrom="paragraph">
            <wp:posOffset>-266700</wp:posOffset>
          </wp:positionV>
          <wp:extent cx="7457440" cy="1017613"/>
          <wp:effectExtent l="0" t="0" r="0" b="0"/>
          <wp:wrapNone/>
          <wp:docPr id="11656394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503113" name="Imagen 975503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7440" cy="1017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C58AF2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D701D"/>
    <w:multiLevelType w:val="multilevel"/>
    <w:tmpl w:val="9EF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F5E3F"/>
    <w:multiLevelType w:val="hybridMultilevel"/>
    <w:tmpl w:val="BC42BD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5123"/>
    <w:multiLevelType w:val="hybridMultilevel"/>
    <w:tmpl w:val="C3BA71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1C9B"/>
    <w:multiLevelType w:val="hybridMultilevel"/>
    <w:tmpl w:val="44AAABE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21A9C"/>
    <w:multiLevelType w:val="hybridMultilevel"/>
    <w:tmpl w:val="F9CCB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516D6"/>
    <w:multiLevelType w:val="hybridMultilevel"/>
    <w:tmpl w:val="7B26CFA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2FF7"/>
    <w:multiLevelType w:val="hybridMultilevel"/>
    <w:tmpl w:val="2FF417B6"/>
    <w:lvl w:ilvl="0" w:tplc="6218BA1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77B18"/>
    <w:multiLevelType w:val="hybridMultilevel"/>
    <w:tmpl w:val="11205B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936"/>
    <w:multiLevelType w:val="hybridMultilevel"/>
    <w:tmpl w:val="8FAC24B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6931"/>
    <w:multiLevelType w:val="hybridMultilevel"/>
    <w:tmpl w:val="9022F25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386B"/>
    <w:multiLevelType w:val="hybridMultilevel"/>
    <w:tmpl w:val="04CA01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4087B"/>
    <w:multiLevelType w:val="hybridMultilevel"/>
    <w:tmpl w:val="EAB6108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B27AE2"/>
    <w:multiLevelType w:val="hybridMultilevel"/>
    <w:tmpl w:val="EDE89D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A25BA"/>
    <w:multiLevelType w:val="multilevel"/>
    <w:tmpl w:val="252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86DF0"/>
    <w:multiLevelType w:val="multilevel"/>
    <w:tmpl w:val="C7FC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EA16ED"/>
    <w:multiLevelType w:val="multilevel"/>
    <w:tmpl w:val="83F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E7752E"/>
    <w:multiLevelType w:val="multilevel"/>
    <w:tmpl w:val="491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F48F9"/>
    <w:multiLevelType w:val="hybridMultilevel"/>
    <w:tmpl w:val="D10408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C7504"/>
    <w:multiLevelType w:val="multilevel"/>
    <w:tmpl w:val="DB6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CE6793"/>
    <w:multiLevelType w:val="multilevel"/>
    <w:tmpl w:val="29A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BB4CA3"/>
    <w:multiLevelType w:val="multilevel"/>
    <w:tmpl w:val="9400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2E03F3"/>
    <w:multiLevelType w:val="hybridMultilevel"/>
    <w:tmpl w:val="82F46B6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820C5"/>
    <w:multiLevelType w:val="hybridMultilevel"/>
    <w:tmpl w:val="E154E77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8340D"/>
    <w:multiLevelType w:val="hybridMultilevel"/>
    <w:tmpl w:val="4BF2EB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155F"/>
    <w:multiLevelType w:val="hybridMultilevel"/>
    <w:tmpl w:val="0036854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B29C7"/>
    <w:multiLevelType w:val="hybridMultilevel"/>
    <w:tmpl w:val="3C3046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042F2"/>
    <w:multiLevelType w:val="hybridMultilevel"/>
    <w:tmpl w:val="DD1620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372E2"/>
    <w:multiLevelType w:val="hybridMultilevel"/>
    <w:tmpl w:val="44780256"/>
    <w:lvl w:ilvl="0" w:tplc="1620084C">
      <w:start w:val="1"/>
      <w:numFmt w:val="decimal"/>
      <w:lvlText w:val="%1."/>
      <w:lvlJc w:val="left"/>
      <w:pPr>
        <w:ind w:left="1020" w:hanging="360"/>
      </w:pPr>
    </w:lvl>
    <w:lvl w:ilvl="1" w:tplc="BA40BCDC">
      <w:start w:val="1"/>
      <w:numFmt w:val="decimal"/>
      <w:lvlText w:val="%2."/>
      <w:lvlJc w:val="left"/>
      <w:pPr>
        <w:ind w:left="1020" w:hanging="360"/>
      </w:pPr>
    </w:lvl>
    <w:lvl w:ilvl="2" w:tplc="FA08A32E">
      <w:start w:val="1"/>
      <w:numFmt w:val="decimal"/>
      <w:lvlText w:val="%3."/>
      <w:lvlJc w:val="left"/>
      <w:pPr>
        <w:ind w:left="1020" w:hanging="360"/>
      </w:pPr>
    </w:lvl>
    <w:lvl w:ilvl="3" w:tplc="885EFE38">
      <w:start w:val="1"/>
      <w:numFmt w:val="decimal"/>
      <w:lvlText w:val="%4."/>
      <w:lvlJc w:val="left"/>
      <w:pPr>
        <w:ind w:left="1020" w:hanging="360"/>
      </w:pPr>
    </w:lvl>
    <w:lvl w:ilvl="4" w:tplc="6C5697E0">
      <w:start w:val="1"/>
      <w:numFmt w:val="decimal"/>
      <w:lvlText w:val="%5."/>
      <w:lvlJc w:val="left"/>
      <w:pPr>
        <w:ind w:left="1020" w:hanging="360"/>
      </w:pPr>
    </w:lvl>
    <w:lvl w:ilvl="5" w:tplc="D7BCF744">
      <w:start w:val="1"/>
      <w:numFmt w:val="decimal"/>
      <w:lvlText w:val="%6."/>
      <w:lvlJc w:val="left"/>
      <w:pPr>
        <w:ind w:left="1020" w:hanging="360"/>
      </w:pPr>
    </w:lvl>
    <w:lvl w:ilvl="6" w:tplc="78F85FDC">
      <w:start w:val="1"/>
      <w:numFmt w:val="decimal"/>
      <w:lvlText w:val="%7."/>
      <w:lvlJc w:val="left"/>
      <w:pPr>
        <w:ind w:left="1020" w:hanging="360"/>
      </w:pPr>
    </w:lvl>
    <w:lvl w:ilvl="7" w:tplc="18B2C4DE">
      <w:start w:val="1"/>
      <w:numFmt w:val="decimal"/>
      <w:lvlText w:val="%8."/>
      <w:lvlJc w:val="left"/>
      <w:pPr>
        <w:ind w:left="1020" w:hanging="360"/>
      </w:pPr>
    </w:lvl>
    <w:lvl w:ilvl="8" w:tplc="EEA48F36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80604C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49513B"/>
    <w:multiLevelType w:val="multilevel"/>
    <w:tmpl w:val="241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9A5BB2"/>
    <w:multiLevelType w:val="hybridMultilevel"/>
    <w:tmpl w:val="2040BD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4FFB"/>
    <w:multiLevelType w:val="hybridMultilevel"/>
    <w:tmpl w:val="325EAD3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A377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4AB2480"/>
    <w:multiLevelType w:val="multilevel"/>
    <w:tmpl w:val="1B0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C625E1"/>
    <w:multiLevelType w:val="multilevel"/>
    <w:tmpl w:val="BFF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937D6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6091690">
    <w:abstractNumId w:val="33"/>
  </w:num>
  <w:num w:numId="2" w16cid:durableId="890387391">
    <w:abstractNumId w:val="24"/>
  </w:num>
  <w:num w:numId="3" w16cid:durableId="81031976">
    <w:abstractNumId w:val="12"/>
  </w:num>
  <w:num w:numId="4" w16cid:durableId="696395952">
    <w:abstractNumId w:val="5"/>
  </w:num>
  <w:num w:numId="5" w16cid:durableId="627004871">
    <w:abstractNumId w:val="11"/>
  </w:num>
  <w:num w:numId="6" w16cid:durableId="1991131057">
    <w:abstractNumId w:val="10"/>
  </w:num>
  <w:num w:numId="7" w16cid:durableId="2139645298">
    <w:abstractNumId w:val="29"/>
  </w:num>
  <w:num w:numId="8" w16cid:durableId="1517766402">
    <w:abstractNumId w:val="22"/>
  </w:num>
  <w:num w:numId="9" w16cid:durableId="749548802">
    <w:abstractNumId w:val="23"/>
  </w:num>
  <w:num w:numId="10" w16cid:durableId="1484352968">
    <w:abstractNumId w:val="32"/>
  </w:num>
  <w:num w:numId="11" w16cid:durableId="563108956">
    <w:abstractNumId w:val="4"/>
  </w:num>
  <w:num w:numId="12" w16cid:durableId="1020205074">
    <w:abstractNumId w:val="9"/>
  </w:num>
  <w:num w:numId="13" w16cid:durableId="525485143">
    <w:abstractNumId w:val="3"/>
  </w:num>
  <w:num w:numId="14" w16cid:durableId="75176903">
    <w:abstractNumId w:val="36"/>
  </w:num>
  <w:num w:numId="15" w16cid:durableId="1258752064">
    <w:abstractNumId w:val="34"/>
  </w:num>
  <w:num w:numId="16" w16cid:durableId="246884515">
    <w:abstractNumId w:val="16"/>
  </w:num>
  <w:num w:numId="17" w16cid:durableId="2122333418">
    <w:abstractNumId w:val="2"/>
  </w:num>
  <w:num w:numId="18" w16cid:durableId="1839078342">
    <w:abstractNumId w:val="7"/>
  </w:num>
  <w:num w:numId="19" w16cid:durableId="342391749">
    <w:abstractNumId w:val="17"/>
  </w:num>
  <w:num w:numId="20" w16cid:durableId="178199496">
    <w:abstractNumId w:val="21"/>
  </w:num>
  <w:num w:numId="21" w16cid:durableId="1294798456">
    <w:abstractNumId w:val="35"/>
  </w:num>
  <w:num w:numId="22" w16cid:durableId="773551595">
    <w:abstractNumId w:val="1"/>
  </w:num>
  <w:num w:numId="23" w16cid:durableId="1094086553">
    <w:abstractNumId w:val="20"/>
  </w:num>
  <w:num w:numId="24" w16cid:durableId="35860545">
    <w:abstractNumId w:val="18"/>
  </w:num>
  <w:num w:numId="25" w16cid:durableId="603804486">
    <w:abstractNumId w:val="27"/>
  </w:num>
  <w:num w:numId="26" w16cid:durableId="1217932954">
    <w:abstractNumId w:val="6"/>
  </w:num>
  <w:num w:numId="27" w16cid:durableId="1124009270">
    <w:abstractNumId w:val="8"/>
  </w:num>
  <w:num w:numId="28" w16cid:durableId="1749839940">
    <w:abstractNumId w:val="26"/>
  </w:num>
  <w:num w:numId="29" w16cid:durableId="50157237">
    <w:abstractNumId w:val="13"/>
  </w:num>
  <w:num w:numId="30" w16cid:durableId="1122000377">
    <w:abstractNumId w:val="25"/>
  </w:num>
  <w:num w:numId="31" w16cid:durableId="859006184">
    <w:abstractNumId w:val="0"/>
  </w:num>
  <w:num w:numId="32" w16cid:durableId="2024279584">
    <w:abstractNumId w:val="31"/>
  </w:num>
  <w:num w:numId="33" w16cid:durableId="1513956869">
    <w:abstractNumId w:val="28"/>
  </w:num>
  <w:num w:numId="34" w16cid:durableId="830945818">
    <w:abstractNumId w:val="30"/>
  </w:num>
  <w:num w:numId="35" w16cid:durableId="1712341451">
    <w:abstractNumId w:val="15"/>
  </w:num>
  <w:num w:numId="36" w16cid:durableId="581135691">
    <w:abstractNumId w:val="19"/>
  </w:num>
  <w:num w:numId="37" w16cid:durableId="716391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A1"/>
    <w:rsid w:val="00000CB2"/>
    <w:rsid w:val="00000CCF"/>
    <w:rsid w:val="00003598"/>
    <w:rsid w:val="000041D7"/>
    <w:rsid w:val="00005472"/>
    <w:rsid w:val="00005BAD"/>
    <w:rsid w:val="00011D80"/>
    <w:rsid w:val="0001320A"/>
    <w:rsid w:val="000140D2"/>
    <w:rsid w:val="000179AA"/>
    <w:rsid w:val="00020A10"/>
    <w:rsid w:val="00023587"/>
    <w:rsid w:val="00024DD1"/>
    <w:rsid w:val="00026054"/>
    <w:rsid w:val="00027181"/>
    <w:rsid w:val="0003725E"/>
    <w:rsid w:val="00040474"/>
    <w:rsid w:val="00041826"/>
    <w:rsid w:val="00043118"/>
    <w:rsid w:val="00045A42"/>
    <w:rsid w:val="0005286F"/>
    <w:rsid w:val="0005301D"/>
    <w:rsid w:val="0006052E"/>
    <w:rsid w:val="000642FE"/>
    <w:rsid w:val="000664FD"/>
    <w:rsid w:val="00066B21"/>
    <w:rsid w:val="0006798F"/>
    <w:rsid w:val="0007485A"/>
    <w:rsid w:val="000751DA"/>
    <w:rsid w:val="00077371"/>
    <w:rsid w:val="00077A6E"/>
    <w:rsid w:val="00082209"/>
    <w:rsid w:val="000828C7"/>
    <w:rsid w:val="00083B94"/>
    <w:rsid w:val="000870EB"/>
    <w:rsid w:val="00090138"/>
    <w:rsid w:val="00090B9A"/>
    <w:rsid w:val="00092225"/>
    <w:rsid w:val="000955F3"/>
    <w:rsid w:val="000A6127"/>
    <w:rsid w:val="000B0B5D"/>
    <w:rsid w:val="000B1052"/>
    <w:rsid w:val="000B67B1"/>
    <w:rsid w:val="000C02AC"/>
    <w:rsid w:val="000C0EC4"/>
    <w:rsid w:val="000C166B"/>
    <w:rsid w:val="000C2AF4"/>
    <w:rsid w:val="000C39D2"/>
    <w:rsid w:val="000C7346"/>
    <w:rsid w:val="000C7B58"/>
    <w:rsid w:val="000D0A17"/>
    <w:rsid w:val="000D19E0"/>
    <w:rsid w:val="000D1CF4"/>
    <w:rsid w:val="000D5D4D"/>
    <w:rsid w:val="000E570F"/>
    <w:rsid w:val="000E5ECA"/>
    <w:rsid w:val="000E6893"/>
    <w:rsid w:val="000E6A80"/>
    <w:rsid w:val="000E6ECB"/>
    <w:rsid w:val="000F210F"/>
    <w:rsid w:val="000F2A74"/>
    <w:rsid w:val="000F2D5C"/>
    <w:rsid w:val="000F7F15"/>
    <w:rsid w:val="00102A6F"/>
    <w:rsid w:val="00102FA7"/>
    <w:rsid w:val="00103118"/>
    <w:rsid w:val="001164B5"/>
    <w:rsid w:val="00120CAF"/>
    <w:rsid w:val="00125E24"/>
    <w:rsid w:val="001319B4"/>
    <w:rsid w:val="0013669A"/>
    <w:rsid w:val="00142AF1"/>
    <w:rsid w:val="0014371C"/>
    <w:rsid w:val="00144282"/>
    <w:rsid w:val="001448FE"/>
    <w:rsid w:val="001471A6"/>
    <w:rsid w:val="00156951"/>
    <w:rsid w:val="00156EE5"/>
    <w:rsid w:val="00160610"/>
    <w:rsid w:val="00161ECC"/>
    <w:rsid w:val="00163D45"/>
    <w:rsid w:val="001677CA"/>
    <w:rsid w:val="00175D7A"/>
    <w:rsid w:val="00175ED0"/>
    <w:rsid w:val="00180B16"/>
    <w:rsid w:val="0018162F"/>
    <w:rsid w:val="001819EE"/>
    <w:rsid w:val="00183779"/>
    <w:rsid w:val="00186BCA"/>
    <w:rsid w:val="00187E9A"/>
    <w:rsid w:val="00190CC1"/>
    <w:rsid w:val="001940E1"/>
    <w:rsid w:val="001A031D"/>
    <w:rsid w:val="001A3A54"/>
    <w:rsid w:val="001A79F3"/>
    <w:rsid w:val="001B27DB"/>
    <w:rsid w:val="001B42FA"/>
    <w:rsid w:val="001B7742"/>
    <w:rsid w:val="001B77D1"/>
    <w:rsid w:val="001C19B1"/>
    <w:rsid w:val="001C55FC"/>
    <w:rsid w:val="001C6857"/>
    <w:rsid w:val="001C7AE6"/>
    <w:rsid w:val="001D02C0"/>
    <w:rsid w:val="001D1746"/>
    <w:rsid w:val="001D615B"/>
    <w:rsid w:val="001E0A61"/>
    <w:rsid w:val="001E25AF"/>
    <w:rsid w:val="001E548F"/>
    <w:rsid w:val="001F32EB"/>
    <w:rsid w:val="001F3A46"/>
    <w:rsid w:val="001F7CAC"/>
    <w:rsid w:val="00201AF6"/>
    <w:rsid w:val="0020684E"/>
    <w:rsid w:val="00210AB1"/>
    <w:rsid w:val="00212D75"/>
    <w:rsid w:val="002135FD"/>
    <w:rsid w:val="002145BE"/>
    <w:rsid w:val="00215732"/>
    <w:rsid w:val="00217AB8"/>
    <w:rsid w:val="00220445"/>
    <w:rsid w:val="00222165"/>
    <w:rsid w:val="002332AE"/>
    <w:rsid w:val="002352FB"/>
    <w:rsid w:val="0023575C"/>
    <w:rsid w:val="00244229"/>
    <w:rsid w:val="002474E1"/>
    <w:rsid w:val="00251CE3"/>
    <w:rsid w:val="00252A21"/>
    <w:rsid w:val="002554D1"/>
    <w:rsid w:val="00255B28"/>
    <w:rsid w:val="0025676E"/>
    <w:rsid w:val="00263924"/>
    <w:rsid w:val="00270C40"/>
    <w:rsid w:val="00271EE5"/>
    <w:rsid w:val="0028145C"/>
    <w:rsid w:val="00282AF4"/>
    <w:rsid w:val="002850EE"/>
    <w:rsid w:val="002853FA"/>
    <w:rsid w:val="002859BD"/>
    <w:rsid w:val="00294B74"/>
    <w:rsid w:val="00295676"/>
    <w:rsid w:val="002A275B"/>
    <w:rsid w:val="002A5A69"/>
    <w:rsid w:val="002A5DC0"/>
    <w:rsid w:val="002B39F7"/>
    <w:rsid w:val="002C0D8A"/>
    <w:rsid w:val="002C2B10"/>
    <w:rsid w:val="002C2CA8"/>
    <w:rsid w:val="002C451C"/>
    <w:rsid w:val="002D11E6"/>
    <w:rsid w:val="002D3E4B"/>
    <w:rsid w:val="002D75F1"/>
    <w:rsid w:val="002E6054"/>
    <w:rsid w:val="002E7187"/>
    <w:rsid w:val="002F139A"/>
    <w:rsid w:val="003009C4"/>
    <w:rsid w:val="00300B12"/>
    <w:rsid w:val="003016EC"/>
    <w:rsid w:val="00303918"/>
    <w:rsid w:val="003056F6"/>
    <w:rsid w:val="003119E6"/>
    <w:rsid w:val="003120E4"/>
    <w:rsid w:val="003122E7"/>
    <w:rsid w:val="00312623"/>
    <w:rsid w:val="00316F9C"/>
    <w:rsid w:val="00321430"/>
    <w:rsid w:val="00322CD9"/>
    <w:rsid w:val="0032636B"/>
    <w:rsid w:val="00331F41"/>
    <w:rsid w:val="00337574"/>
    <w:rsid w:val="00342636"/>
    <w:rsid w:val="0034331F"/>
    <w:rsid w:val="003443E6"/>
    <w:rsid w:val="00355D02"/>
    <w:rsid w:val="0035601F"/>
    <w:rsid w:val="0035755D"/>
    <w:rsid w:val="00357F85"/>
    <w:rsid w:val="00362F74"/>
    <w:rsid w:val="00366FCB"/>
    <w:rsid w:val="00367275"/>
    <w:rsid w:val="003672A6"/>
    <w:rsid w:val="00367FE1"/>
    <w:rsid w:val="00373AD5"/>
    <w:rsid w:val="00373C63"/>
    <w:rsid w:val="003802B4"/>
    <w:rsid w:val="003809C2"/>
    <w:rsid w:val="003810C8"/>
    <w:rsid w:val="003820ED"/>
    <w:rsid w:val="00384357"/>
    <w:rsid w:val="0039218A"/>
    <w:rsid w:val="003930B0"/>
    <w:rsid w:val="00393D7E"/>
    <w:rsid w:val="003970E3"/>
    <w:rsid w:val="003A0A3B"/>
    <w:rsid w:val="003B31BD"/>
    <w:rsid w:val="003B4BDB"/>
    <w:rsid w:val="003B6566"/>
    <w:rsid w:val="003B6CCB"/>
    <w:rsid w:val="003C0D86"/>
    <w:rsid w:val="003C7373"/>
    <w:rsid w:val="003D015F"/>
    <w:rsid w:val="003D0C55"/>
    <w:rsid w:val="003D13CE"/>
    <w:rsid w:val="003D6991"/>
    <w:rsid w:val="003E2C8F"/>
    <w:rsid w:val="003E3A4B"/>
    <w:rsid w:val="003E7007"/>
    <w:rsid w:val="003F2F0A"/>
    <w:rsid w:val="003F5CDB"/>
    <w:rsid w:val="003F5EB2"/>
    <w:rsid w:val="004022FE"/>
    <w:rsid w:val="004045AB"/>
    <w:rsid w:val="004053DF"/>
    <w:rsid w:val="00405BB2"/>
    <w:rsid w:val="0040646B"/>
    <w:rsid w:val="004163BB"/>
    <w:rsid w:val="00421BF7"/>
    <w:rsid w:val="004237F4"/>
    <w:rsid w:val="004240FC"/>
    <w:rsid w:val="004262E3"/>
    <w:rsid w:val="004262EA"/>
    <w:rsid w:val="00426869"/>
    <w:rsid w:val="00432423"/>
    <w:rsid w:val="00434F16"/>
    <w:rsid w:val="00435B1F"/>
    <w:rsid w:val="0044220D"/>
    <w:rsid w:val="004430DD"/>
    <w:rsid w:val="0044359A"/>
    <w:rsid w:val="00451558"/>
    <w:rsid w:val="004517DE"/>
    <w:rsid w:val="0045307C"/>
    <w:rsid w:val="00454370"/>
    <w:rsid w:val="00454D9B"/>
    <w:rsid w:val="00456015"/>
    <w:rsid w:val="004569BC"/>
    <w:rsid w:val="00457FB1"/>
    <w:rsid w:val="00460983"/>
    <w:rsid w:val="00462D37"/>
    <w:rsid w:val="00465D5D"/>
    <w:rsid w:val="00466665"/>
    <w:rsid w:val="004733E5"/>
    <w:rsid w:val="00481D08"/>
    <w:rsid w:val="00485D41"/>
    <w:rsid w:val="00487126"/>
    <w:rsid w:val="004950B0"/>
    <w:rsid w:val="00495AEA"/>
    <w:rsid w:val="004B0AC0"/>
    <w:rsid w:val="004B66B1"/>
    <w:rsid w:val="004C02CF"/>
    <w:rsid w:val="004C2E46"/>
    <w:rsid w:val="004C69F2"/>
    <w:rsid w:val="004E1BFB"/>
    <w:rsid w:val="004E2D51"/>
    <w:rsid w:val="004E4ABC"/>
    <w:rsid w:val="004E4AD6"/>
    <w:rsid w:val="004E4D6D"/>
    <w:rsid w:val="004F3FC1"/>
    <w:rsid w:val="004F48D7"/>
    <w:rsid w:val="005026A0"/>
    <w:rsid w:val="00506F07"/>
    <w:rsid w:val="005073CE"/>
    <w:rsid w:val="005075D4"/>
    <w:rsid w:val="00516E73"/>
    <w:rsid w:val="005219A9"/>
    <w:rsid w:val="005228D1"/>
    <w:rsid w:val="0052683B"/>
    <w:rsid w:val="00526EE5"/>
    <w:rsid w:val="00532CDF"/>
    <w:rsid w:val="005330F1"/>
    <w:rsid w:val="00535B39"/>
    <w:rsid w:val="005404A8"/>
    <w:rsid w:val="005477CF"/>
    <w:rsid w:val="005501C5"/>
    <w:rsid w:val="00550FA9"/>
    <w:rsid w:val="00551588"/>
    <w:rsid w:val="005549F1"/>
    <w:rsid w:val="0055555E"/>
    <w:rsid w:val="005564EF"/>
    <w:rsid w:val="0056079E"/>
    <w:rsid w:val="00571B20"/>
    <w:rsid w:val="00572DAD"/>
    <w:rsid w:val="00574777"/>
    <w:rsid w:val="0058425C"/>
    <w:rsid w:val="0058696B"/>
    <w:rsid w:val="00587240"/>
    <w:rsid w:val="005875C8"/>
    <w:rsid w:val="00592E12"/>
    <w:rsid w:val="005954BD"/>
    <w:rsid w:val="005A362A"/>
    <w:rsid w:val="005A37DF"/>
    <w:rsid w:val="005A39DB"/>
    <w:rsid w:val="005A4069"/>
    <w:rsid w:val="005A4FC8"/>
    <w:rsid w:val="005A667C"/>
    <w:rsid w:val="005B1C03"/>
    <w:rsid w:val="005B5373"/>
    <w:rsid w:val="005B61FC"/>
    <w:rsid w:val="005B654A"/>
    <w:rsid w:val="005B6C2F"/>
    <w:rsid w:val="005C05B5"/>
    <w:rsid w:val="005C3A12"/>
    <w:rsid w:val="005C4E4A"/>
    <w:rsid w:val="005D45D9"/>
    <w:rsid w:val="005E3294"/>
    <w:rsid w:val="005E44E6"/>
    <w:rsid w:val="005E557D"/>
    <w:rsid w:val="005E6927"/>
    <w:rsid w:val="005F1A94"/>
    <w:rsid w:val="005F5B05"/>
    <w:rsid w:val="006019D6"/>
    <w:rsid w:val="00605B88"/>
    <w:rsid w:val="0060753C"/>
    <w:rsid w:val="006075F9"/>
    <w:rsid w:val="00607968"/>
    <w:rsid w:val="00610EA0"/>
    <w:rsid w:val="0061207E"/>
    <w:rsid w:val="00613623"/>
    <w:rsid w:val="00616192"/>
    <w:rsid w:val="00616BBD"/>
    <w:rsid w:val="00617813"/>
    <w:rsid w:val="00617EDF"/>
    <w:rsid w:val="0062000C"/>
    <w:rsid w:val="006204B6"/>
    <w:rsid w:val="00620538"/>
    <w:rsid w:val="00622812"/>
    <w:rsid w:val="006256F3"/>
    <w:rsid w:val="00625BBE"/>
    <w:rsid w:val="00625F6F"/>
    <w:rsid w:val="00635018"/>
    <w:rsid w:val="00636B5F"/>
    <w:rsid w:val="006371A8"/>
    <w:rsid w:val="00640398"/>
    <w:rsid w:val="006405F4"/>
    <w:rsid w:val="00642E17"/>
    <w:rsid w:val="006505E2"/>
    <w:rsid w:val="00652935"/>
    <w:rsid w:val="00653703"/>
    <w:rsid w:val="00653FF8"/>
    <w:rsid w:val="00656667"/>
    <w:rsid w:val="00656AEC"/>
    <w:rsid w:val="00661961"/>
    <w:rsid w:val="0066572F"/>
    <w:rsid w:val="00667C85"/>
    <w:rsid w:val="006721DC"/>
    <w:rsid w:val="006749A7"/>
    <w:rsid w:val="00680142"/>
    <w:rsid w:val="00682FF6"/>
    <w:rsid w:val="00685522"/>
    <w:rsid w:val="00696600"/>
    <w:rsid w:val="006A04C3"/>
    <w:rsid w:val="006A059E"/>
    <w:rsid w:val="006A0DD2"/>
    <w:rsid w:val="006A1C0F"/>
    <w:rsid w:val="006A3AC5"/>
    <w:rsid w:val="006A3B13"/>
    <w:rsid w:val="006A6BB1"/>
    <w:rsid w:val="006A7DA8"/>
    <w:rsid w:val="006B09C1"/>
    <w:rsid w:val="006B0CB8"/>
    <w:rsid w:val="006B1AF7"/>
    <w:rsid w:val="006B541F"/>
    <w:rsid w:val="006B6172"/>
    <w:rsid w:val="006C14EA"/>
    <w:rsid w:val="006C18A4"/>
    <w:rsid w:val="006C57F5"/>
    <w:rsid w:val="006D7CA1"/>
    <w:rsid w:val="006E065E"/>
    <w:rsid w:val="006E090C"/>
    <w:rsid w:val="006E4798"/>
    <w:rsid w:val="006E52C1"/>
    <w:rsid w:val="006F024E"/>
    <w:rsid w:val="006F042E"/>
    <w:rsid w:val="006F09CF"/>
    <w:rsid w:val="006F34E6"/>
    <w:rsid w:val="006F63A4"/>
    <w:rsid w:val="006F6D95"/>
    <w:rsid w:val="007112B1"/>
    <w:rsid w:val="007119C7"/>
    <w:rsid w:val="00713675"/>
    <w:rsid w:val="00716633"/>
    <w:rsid w:val="00716B07"/>
    <w:rsid w:val="0071784D"/>
    <w:rsid w:val="00723024"/>
    <w:rsid w:val="00731C55"/>
    <w:rsid w:val="007347B4"/>
    <w:rsid w:val="00734D5C"/>
    <w:rsid w:val="00740FCE"/>
    <w:rsid w:val="00745263"/>
    <w:rsid w:val="00745C96"/>
    <w:rsid w:val="007467BA"/>
    <w:rsid w:val="007512E6"/>
    <w:rsid w:val="00751384"/>
    <w:rsid w:val="007641A8"/>
    <w:rsid w:val="00774966"/>
    <w:rsid w:val="007750C6"/>
    <w:rsid w:val="007759F3"/>
    <w:rsid w:val="007804D2"/>
    <w:rsid w:val="007874F7"/>
    <w:rsid w:val="00787D0C"/>
    <w:rsid w:val="007915EB"/>
    <w:rsid w:val="007934C1"/>
    <w:rsid w:val="007A2C99"/>
    <w:rsid w:val="007A7322"/>
    <w:rsid w:val="007B4572"/>
    <w:rsid w:val="007B69EB"/>
    <w:rsid w:val="007B6A55"/>
    <w:rsid w:val="007B7AD7"/>
    <w:rsid w:val="007C0C4C"/>
    <w:rsid w:val="007C1798"/>
    <w:rsid w:val="007C2214"/>
    <w:rsid w:val="007C681F"/>
    <w:rsid w:val="007D722A"/>
    <w:rsid w:val="007E15F1"/>
    <w:rsid w:val="007F0389"/>
    <w:rsid w:val="007F15CB"/>
    <w:rsid w:val="007F2DB2"/>
    <w:rsid w:val="007F65F1"/>
    <w:rsid w:val="007F7F37"/>
    <w:rsid w:val="00802106"/>
    <w:rsid w:val="00803459"/>
    <w:rsid w:val="008043BA"/>
    <w:rsid w:val="008073B3"/>
    <w:rsid w:val="00814B61"/>
    <w:rsid w:val="00816157"/>
    <w:rsid w:val="00820FD2"/>
    <w:rsid w:val="0083056A"/>
    <w:rsid w:val="0083252F"/>
    <w:rsid w:val="00832A2F"/>
    <w:rsid w:val="00833377"/>
    <w:rsid w:val="008370DD"/>
    <w:rsid w:val="00841AEC"/>
    <w:rsid w:val="00846AF7"/>
    <w:rsid w:val="00850F16"/>
    <w:rsid w:val="00856AC5"/>
    <w:rsid w:val="0086241D"/>
    <w:rsid w:val="00863601"/>
    <w:rsid w:val="00865F33"/>
    <w:rsid w:val="0087233B"/>
    <w:rsid w:val="0087367E"/>
    <w:rsid w:val="00874385"/>
    <w:rsid w:val="00875068"/>
    <w:rsid w:val="00881542"/>
    <w:rsid w:val="0088328D"/>
    <w:rsid w:val="00883BD4"/>
    <w:rsid w:val="00897C86"/>
    <w:rsid w:val="008A1892"/>
    <w:rsid w:val="008A7718"/>
    <w:rsid w:val="008A7FAF"/>
    <w:rsid w:val="008B201B"/>
    <w:rsid w:val="008B3222"/>
    <w:rsid w:val="008B3DB4"/>
    <w:rsid w:val="008B4828"/>
    <w:rsid w:val="008C27C9"/>
    <w:rsid w:val="008C4C47"/>
    <w:rsid w:val="008C4CA7"/>
    <w:rsid w:val="008D1507"/>
    <w:rsid w:val="008E1986"/>
    <w:rsid w:val="008E7600"/>
    <w:rsid w:val="008F1660"/>
    <w:rsid w:val="008F1CE5"/>
    <w:rsid w:val="008F2B95"/>
    <w:rsid w:val="008F4411"/>
    <w:rsid w:val="00905A07"/>
    <w:rsid w:val="00906C33"/>
    <w:rsid w:val="009120AE"/>
    <w:rsid w:val="00914CFB"/>
    <w:rsid w:val="00922D5C"/>
    <w:rsid w:val="00923D9D"/>
    <w:rsid w:val="009313BB"/>
    <w:rsid w:val="009347DC"/>
    <w:rsid w:val="009353A2"/>
    <w:rsid w:val="009370C6"/>
    <w:rsid w:val="009513A1"/>
    <w:rsid w:val="009568A8"/>
    <w:rsid w:val="00960190"/>
    <w:rsid w:val="00960976"/>
    <w:rsid w:val="00960A8E"/>
    <w:rsid w:val="00961158"/>
    <w:rsid w:val="00961EA0"/>
    <w:rsid w:val="00961F66"/>
    <w:rsid w:val="00965070"/>
    <w:rsid w:val="00970231"/>
    <w:rsid w:val="00972C47"/>
    <w:rsid w:val="009750DF"/>
    <w:rsid w:val="009761C0"/>
    <w:rsid w:val="009805E1"/>
    <w:rsid w:val="00980853"/>
    <w:rsid w:val="00984AB8"/>
    <w:rsid w:val="0098581C"/>
    <w:rsid w:val="009867F3"/>
    <w:rsid w:val="00990DC4"/>
    <w:rsid w:val="00992C4B"/>
    <w:rsid w:val="0099486D"/>
    <w:rsid w:val="009950D8"/>
    <w:rsid w:val="00996DB5"/>
    <w:rsid w:val="009A1FF5"/>
    <w:rsid w:val="009A2F8D"/>
    <w:rsid w:val="009A6919"/>
    <w:rsid w:val="009A7361"/>
    <w:rsid w:val="009B3BD8"/>
    <w:rsid w:val="009B411F"/>
    <w:rsid w:val="009B4D0C"/>
    <w:rsid w:val="009B6D40"/>
    <w:rsid w:val="009C0AC4"/>
    <w:rsid w:val="009C20A8"/>
    <w:rsid w:val="009C2C55"/>
    <w:rsid w:val="009C582D"/>
    <w:rsid w:val="009C6305"/>
    <w:rsid w:val="009C68DE"/>
    <w:rsid w:val="009D104A"/>
    <w:rsid w:val="009D267E"/>
    <w:rsid w:val="009D5DA7"/>
    <w:rsid w:val="009D612B"/>
    <w:rsid w:val="009E1702"/>
    <w:rsid w:val="009E3EAF"/>
    <w:rsid w:val="009E7E78"/>
    <w:rsid w:val="009F3735"/>
    <w:rsid w:val="009F4924"/>
    <w:rsid w:val="009F5290"/>
    <w:rsid w:val="009F669F"/>
    <w:rsid w:val="00A03CEC"/>
    <w:rsid w:val="00A057BA"/>
    <w:rsid w:val="00A06357"/>
    <w:rsid w:val="00A11745"/>
    <w:rsid w:val="00A138FF"/>
    <w:rsid w:val="00A13B82"/>
    <w:rsid w:val="00A146A9"/>
    <w:rsid w:val="00A168F9"/>
    <w:rsid w:val="00A1730D"/>
    <w:rsid w:val="00A21613"/>
    <w:rsid w:val="00A330C0"/>
    <w:rsid w:val="00A342BD"/>
    <w:rsid w:val="00A35C42"/>
    <w:rsid w:val="00A371D9"/>
    <w:rsid w:val="00A44CB2"/>
    <w:rsid w:val="00A451D4"/>
    <w:rsid w:val="00A466DD"/>
    <w:rsid w:val="00A4713A"/>
    <w:rsid w:val="00A474A6"/>
    <w:rsid w:val="00A5054D"/>
    <w:rsid w:val="00A61932"/>
    <w:rsid w:val="00A6549C"/>
    <w:rsid w:val="00A65A81"/>
    <w:rsid w:val="00A67D3B"/>
    <w:rsid w:val="00A7046E"/>
    <w:rsid w:val="00A740D0"/>
    <w:rsid w:val="00A74CB5"/>
    <w:rsid w:val="00A77BDB"/>
    <w:rsid w:val="00A82C8F"/>
    <w:rsid w:val="00A83550"/>
    <w:rsid w:val="00A9241D"/>
    <w:rsid w:val="00A92735"/>
    <w:rsid w:val="00A947D7"/>
    <w:rsid w:val="00A9798F"/>
    <w:rsid w:val="00AA3694"/>
    <w:rsid w:val="00AA73A6"/>
    <w:rsid w:val="00AA7648"/>
    <w:rsid w:val="00AB196D"/>
    <w:rsid w:val="00AB40BF"/>
    <w:rsid w:val="00AB75F8"/>
    <w:rsid w:val="00AB7A16"/>
    <w:rsid w:val="00AC6340"/>
    <w:rsid w:val="00AC7111"/>
    <w:rsid w:val="00AD0E47"/>
    <w:rsid w:val="00AD1A4A"/>
    <w:rsid w:val="00AD3BDB"/>
    <w:rsid w:val="00AD6648"/>
    <w:rsid w:val="00AD752E"/>
    <w:rsid w:val="00AF1ECF"/>
    <w:rsid w:val="00AF5306"/>
    <w:rsid w:val="00AF5772"/>
    <w:rsid w:val="00B023AE"/>
    <w:rsid w:val="00B05BF0"/>
    <w:rsid w:val="00B110B7"/>
    <w:rsid w:val="00B13F49"/>
    <w:rsid w:val="00B151DD"/>
    <w:rsid w:val="00B16070"/>
    <w:rsid w:val="00B1748F"/>
    <w:rsid w:val="00B22884"/>
    <w:rsid w:val="00B24FEC"/>
    <w:rsid w:val="00B33728"/>
    <w:rsid w:val="00B34D2C"/>
    <w:rsid w:val="00B368D5"/>
    <w:rsid w:val="00B44071"/>
    <w:rsid w:val="00B441AA"/>
    <w:rsid w:val="00B4617E"/>
    <w:rsid w:val="00B5133B"/>
    <w:rsid w:val="00B550FE"/>
    <w:rsid w:val="00B64747"/>
    <w:rsid w:val="00B649AA"/>
    <w:rsid w:val="00B6524B"/>
    <w:rsid w:val="00B67715"/>
    <w:rsid w:val="00B705E1"/>
    <w:rsid w:val="00B71D08"/>
    <w:rsid w:val="00B73F3B"/>
    <w:rsid w:val="00B757D4"/>
    <w:rsid w:val="00B76407"/>
    <w:rsid w:val="00B77BB8"/>
    <w:rsid w:val="00B8006C"/>
    <w:rsid w:val="00B8563B"/>
    <w:rsid w:val="00B872F5"/>
    <w:rsid w:val="00B90B06"/>
    <w:rsid w:val="00B9113C"/>
    <w:rsid w:val="00B91759"/>
    <w:rsid w:val="00B94DBC"/>
    <w:rsid w:val="00BA2E4F"/>
    <w:rsid w:val="00BA346A"/>
    <w:rsid w:val="00BB395F"/>
    <w:rsid w:val="00BB56DE"/>
    <w:rsid w:val="00BB6869"/>
    <w:rsid w:val="00BC2468"/>
    <w:rsid w:val="00BC446C"/>
    <w:rsid w:val="00BC46E9"/>
    <w:rsid w:val="00BD0A52"/>
    <w:rsid w:val="00BD2151"/>
    <w:rsid w:val="00BD2953"/>
    <w:rsid w:val="00BD407A"/>
    <w:rsid w:val="00BD5802"/>
    <w:rsid w:val="00BD5C8C"/>
    <w:rsid w:val="00BD72C5"/>
    <w:rsid w:val="00BE0FDB"/>
    <w:rsid w:val="00BE25B8"/>
    <w:rsid w:val="00BE3817"/>
    <w:rsid w:val="00BE3AFC"/>
    <w:rsid w:val="00BE3E60"/>
    <w:rsid w:val="00BE6D45"/>
    <w:rsid w:val="00BF1A29"/>
    <w:rsid w:val="00BF4B84"/>
    <w:rsid w:val="00C0253F"/>
    <w:rsid w:val="00C02C08"/>
    <w:rsid w:val="00C02CB4"/>
    <w:rsid w:val="00C0391A"/>
    <w:rsid w:val="00C04A79"/>
    <w:rsid w:val="00C117D6"/>
    <w:rsid w:val="00C159E3"/>
    <w:rsid w:val="00C165B8"/>
    <w:rsid w:val="00C245FC"/>
    <w:rsid w:val="00C27D55"/>
    <w:rsid w:val="00C34C77"/>
    <w:rsid w:val="00C3559B"/>
    <w:rsid w:val="00C37A07"/>
    <w:rsid w:val="00C503F1"/>
    <w:rsid w:val="00C525FF"/>
    <w:rsid w:val="00C54689"/>
    <w:rsid w:val="00C638F9"/>
    <w:rsid w:val="00C65C2E"/>
    <w:rsid w:val="00C67ACF"/>
    <w:rsid w:val="00C71665"/>
    <w:rsid w:val="00C73CE4"/>
    <w:rsid w:val="00C755E1"/>
    <w:rsid w:val="00C83692"/>
    <w:rsid w:val="00C9045E"/>
    <w:rsid w:val="00C904F6"/>
    <w:rsid w:val="00C95078"/>
    <w:rsid w:val="00C97207"/>
    <w:rsid w:val="00C97B76"/>
    <w:rsid w:val="00CA0C6A"/>
    <w:rsid w:val="00CA190A"/>
    <w:rsid w:val="00CA1AD9"/>
    <w:rsid w:val="00CA28CE"/>
    <w:rsid w:val="00CA4E1C"/>
    <w:rsid w:val="00CB1EDF"/>
    <w:rsid w:val="00CB2E92"/>
    <w:rsid w:val="00CC1E50"/>
    <w:rsid w:val="00CC3384"/>
    <w:rsid w:val="00CD1438"/>
    <w:rsid w:val="00CD2363"/>
    <w:rsid w:val="00CE0A6C"/>
    <w:rsid w:val="00CE1CEC"/>
    <w:rsid w:val="00CE2611"/>
    <w:rsid w:val="00CE780C"/>
    <w:rsid w:val="00CF02E4"/>
    <w:rsid w:val="00CF0D8B"/>
    <w:rsid w:val="00CF44A5"/>
    <w:rsid w:val="00D03E2B"/>
    <w:rsid w:val="00D0511E"/>
    <w:rsid w:val="00D05437"/>
    <w:rsid w:val="00D07BE9"/>
    <w:rsid w:val="00D12138"/>
    <w:rsid w:val="00D20E70"/>
    <w:rsid w:val="00D21A37"/>
    <w:rsid w:val="00D21D94"/>
    <w:rsid w:val="00D238BD"/>
    <w:rsid w:val="00D240F8"/>
    <w:rsid w:val="00D25CE1"/>
    <w:rsid w:val="00D26CAA"/>
    <w:rsid w:val="00D3284B"/>
    <w:rsid w:val="00D34A5A"/>
    <w:rsid w:val="00D364A7"/>
    <w:rsid w:val="00D409F4"/>
    <w:rsid w:val="00D44F20"/>
    <w:rsid w:val="00D456F2"/>
    <w:rsid w:val="00D46895"/>
    <w:rsid w:val="00D51345"/>
    <w:rsid w:val="00D520FB"/>
    <w:rsid w:val="00D523AD"/>
    <w:rsid w:val="00D566C0"/>
    <w:rsid w:val="00D56B15"/>
    <w:rsid w:val="00D61D78"/>
    <w:rsid w:val="00D62646"/>
    <w:rsid w:val="00D6349D"/>
    <w:rsid w:val="00D649DA"/>
    <w:rsid w:val="00D65ED7"/>
    <w:rsid w:val="00D7012C"/>
    <w:rsid w:val="00D716ED"/>
    <w:rsid w:val="00D7554C"/>
    <w:rsid w:val="00D815C8"/>
    <w:rsid w:val="00D837E4"/>
    <w:rsid w:val="00D86356"/>
    <w:rsid w:val="00D96CBF"/>
    <w:rsid w:val="00DA066D"/>
    <w:rsid w:val="00DA1D56"/>
    <w:rsid w:val="00DA7279"/>
    <w:rsid w:val="00DB48C4"/>
    <w:rsid w:val="00DB7EFD"/>
    <w:rsid w:val="00DC2357"/>
    <w:rsid w:val="00DD334D"/>
    <w:rsid w:val="00DD592F"/>
    <w:rsid w:val="00DE063A"/>
    <w:rsid w:val="00DE1BB3"/>
    <w:rsid w:val="00DE3E5B"/>
    <w:rsid w:val="00DE6EBE"/>
    <w:rsid w:val="00DF34A0"/>
    <w:rsid w:val="00DF4001"/>
    <w:rsid w:val="00DF438D"/>
    <w:rsid w:val="00DF5612"/>
    <w:rsid w:val="00E107A4"/>
    <w:rsid w:val="00E121EA"/>
    <w:rsid w:val="00E13317"/>
    <w:rsid w:val="00E1587F"/>
    <w:rsid w:val="00E17B3D"/>
    <w:rsid w:val="00E205EB"/>
    <w:rsid w:val="00E260FB"/>
    <w:rsid w:val="00E30C6E"/>
    <w:rsid w:val="00E33369"/>
    <w:rsid w:val="00E33AC3"/>
    <w:rsid w:val="00E4015D"/>
    <w:rsid w:val="00E44E53"/>
    <w:rsid w:val="00E44E9C"/>
    <w:rsid w:val="00E52BDB"/>
    <w:rsid w:val="00E56E98"/>
    <w:rsid w:val="00E6015F"/>
    <w:rsid w:val="00E65A72"/>
    <w:rsid w:val="00E66D7D"/>
    <w:rsid w:val="00E66EEE"/>
    <w:rsid w:val="00E7440A"/>
    <w:rsid w:val="00E746F1"/>
    <w:rsid w:val="00E7472F"/>
    <w:rsid w:val="00E76932"/>
    <w:rsid w:val="00E76E41"/>
    <w:rsid w:val="00E82CB3"/>
    <w:rsid w:val="00E832E4"/>
    <w:rsid w:val="00E854C1"/>
    <w:rsid w:val="00E908AD"/>
    <w:rsid w:val="00E932CA"/>
    <w:rsid w:val="00E95B5E"/>
    <w:rsid w:val="00EA0DA1"/>
    <w:rsid w:val="00EA1044"/>
    <w:rsid w:val="00EA1456"/>
    <w:rsid w:val="00EA4C29"/>
    <w:rsid w:val="00EA59A8"/>
    <w:rsid w:val="00EB1A18"/>
    <w:rsid w:val="00EB5EC6"/>
    <w:rsid w:val="00EC1E74"/>
    <w:rsid w:val="00EC3B23"/>
    <w:rsid w:val="00EC47CE"/>
    <w:rsid w:val="00ED5A7E"/>
    <w:rsid w:val="00ED7FCE"/>
    <w:rsid w:val="00EE7A5C"/>
    <w:rsid w:val="00EF1432"/>
    <w:rsid w:val="00EF4556"/>
    <w:rsid w:val="00EF6404"/>
    <w:rsid w:val="00F13475"/>
    <w:rsid w:val="00F151A5"/>
    <w:rsid w:val="00F20A06"/>
    <w:rsid w:val="00F22CEA"/>
    <w:rsid w:val="00F24D57"/>
    <w:rsid w:val="00F24FAA"/>
    <w:rsid w:val="00F263BE"/>
    <w:rsid w:val="00F27B64"/>
    <w:rsid w:val="00F27C07"/>
    <w:rsid w:val="00F34799"/>
    <w:rsid w:val="00F34EA1"/>
    <w:rsid w:val="00F35659"/>
    <w:rsid w:val="00F43B0C"/>
    <w:rsid w:val="00F50EC3"/>
    <w:rsid w:val="00F53C6F"/>
    <w:rsid w:val="00F555F8"/>
    <w:rsid w:val="00F6072C"/>
    <w:rsid w:val="00F64744"/>
    <w:rsid w:val="00F71F9B"/>
    <w:rsid w:val="00F81BB3"/>
    <w:rsid w:val="00F82B50"/>
    <w:rsid w:val="00F83AC7"/>
    <w:rsid w:val="00F863F8"/>
    <w:rsid w:val="00F870B0"/>
    <w:rsid w:val="00F87CDE"/>
    <w:rsid w:val="00F92B10"/>
    <w:rsid w:val="00F9489A"/>
    <w:rsid w:val="00F957D7"/>
    <w:rsid w:val="00F95BBF"/>
    <w:rsid w:val="00F96E13"/>
    <w:rsid w:val="00FA506E"/>
    <w:rsid w:val="00FA60C5"/>
    <w:rsid w:val="00FA7934"/>
    <w:rsid w:val="00FB06CF"/>
    <w:rsid w:val="00FB5DD4"/>
    <w:rsid w:val="00FC1B9A"/>
    <w:rsid w:val="00FC1CEF"/>
    <w:rsid w:val="00FC2170"/>
    <w:rsid w:val="00FC285B"/>
    <w:rsid w:val="00FC7E1C"/>
    <w:rsid w:val="00FD1BF0"/>
    <w:rsid w:val="00FD2150"/>
    <w:rsid w:val="00FD2F85"/>
    <w:rsid w:val="00FD517B"/>
    <w:rsid w:val="00FD5CA5"/>
    <w:rsid w:val="00FD7C70"/>
    <w:rsid w:val="00FE7869"/>
    <w:rsid w:val="00FE7CDC"/>
    <w:rsid w:val="00FF0AF1"/>
    <w:rsid w:val="00FF2221"/>
    <w:rsid w:val="00FF2E50"/>
    <w:rsid w:val="00FF2F48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54A48"/>
  <w15:chartTrackingRefBased/>
  <w15:docId w15:val="{0E9DA0C5-9A24-475D-94CF-6AB8960A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231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1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1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1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1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1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1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1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1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1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51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51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13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13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13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13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13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13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1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1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1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1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1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13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13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13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1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13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13A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13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13A1"/>
  </w:style>
  <w:style w:type="paragraph" w:styleId="Piedepgina">
    <w:name w:val="footer"/>
    <w:basedOn w:val="Normal"/>
    <w:link w:val="PiedepginaCar"/>
    <w:uiPriority w:val="99"/>
    <w:unhideWhenUsed/>
    <w:rsid w:val="009513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3A1"/>
  </w:style>
  <w:style w:type="paragraph" w:styleId="TtuloTDC">
    <w:name w:val="TOC Heading"/>
    <w:basedOn w:val="Ttulo1"/>
    <w:next w:val="Normal"/>
    <w:uiPriority w:val="39"/>
    <w:unhideWhenUsed/>
    <w:qFormat/>
    <w:rsid w:val="00636B5F"/>
    <w:pPr>
      <w:spacing w:before="240" w:after="0" w:line="259" w:lineRule="auto"/>
      <w:outlineLvl w:val="9"/>
    </w:pPr>
    <w:rPr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636B5F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636B5F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37F4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237F4"/>
    <w:rPr>
      <w:b/>
      <w:bCs/>
    </w:rPr>
  </w:style>
  <w:style w:type="character" w:customStyle="1" w:styleId="katex-mathml">
    <w:name w:val="katex-mathml"/>
    <w:basedOn w:val="Fuentedeprrafopredeter"/>
    <w:rsid w:val="004237F4"/>
  </w:style>
  <w:style w:type="character" w:customStyle="1" w:styleId="delimsizing">
    <w:name w:val="delimsizing"/>
    <w:basedOn w:val="Fuentedeprrafopredeter"/>
    <w:rsid w:val="004237F4"/>
  </w:style>
  <w:style w:type="character" w:customStyle="1" w:styleId="mord">
    <w:name w:val="mord"/>
    <w:basedOn w:val="Fuentedeprrafopredeter"/>
    <w:rsid w:val="004237F4"/>
  </w:style>
  <w:style w:type="character" w:customStyle="1" w:styleId="mbin">
    <w:name w:val="mbin"/>
    <w:basedOn w:val="Fuentedeprrafopredeter"/>
    <w:rsid w:val="004237F4"/>
  </w:style>
  <w:style w:type="character" w:customStyle="1" w:styleId="vlist-s">
    <w:name w:val="vlist-s"/>
    <w:basedOn w:val="Fuentedeprrafopredeter"/>
    <w:rsid w:val="004237F4"/>
  </w:style>
  <w:style w:type="paragraph" w:styleId="TDC2">
    <w:name w:val="toc 2"/>
    <w:basedOn w:val="Normal"/>
    <w:next w:val="Normal"/>
    <w:autoRedefine/>
    <w:uiPriority w:val="39"/>
    <w:unhideWhenUsed/>
    <w:rsid w:val="00187E9A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C71665"/>
    <w:pPr>
      <w:tabs>
        <w:tab w:val="left" w:pos="1680"/>
        <w:tab w:val="right" w:leader="dot" w:pos="8828"/>
      </w:tabs>
      <w:spacing w:after="100"/>
      <w:ind w:left="480"/>
    </w:pPr>
    <w:rPr>
      <w:rFonts w:ascii="Calibri" w:hAnsi="Calibri" w:cs="Calibri"/>
      <w:b/>
      <w:bCs/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5B61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1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1FC"/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1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1FC"/>
    <w:rPr>
      <w:rFonts w:ascii="Times New Roman" w:eastAsia="Times New Roman" w:hAnsi="Times New Roman" w:cs="Times New Roman"/>
      <w:b/>
      <w:bCs/>
      <w:kern w:val="0"/>
      <w:sz w:val="20"/>
      <w:szCs w:val="20"/>
      <w:lang w:eastAsia="es-CO"/>
      <w14:ligatures w14:val="none"/>
    </w:rPr>
  </w:style>
  <w:style w:type="character" w:customStyle="1" w:styleId="overflow-hidden">
    <w:name w:val="overflow-hidden"/>
    <w:basedOn w:val="Fuentedeprrafopredeter"/>
    <w:rsid w:val="00120CAF"/>
  </w:style>
  <w:style w:type="paragraph" w:customStyle="1" w:styleId="Default">
    <w:name w:val="Default"/>
    <w:rsid w:val="00381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aconcuadrcula">
    <w:name w:val="Table Grid"/>
    <w:basedOn w:val="Tablanormal"/>
    <w:uiPriority w:val="39"/>
    <w:rsid w:val="0038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E548F"/>
    <w:rPr>
      <w:color w:val="605E5C"/>
      <w:shd w:val="clear" w:color="auto" w:fill="E1DFDD"/>
    </w:rPr>
  </w:style>
  <w:style w:type="table" w:customStyle="1" w:styleId="TableGrid">
    <w:name w:val="TableGrid"/>
    <w:rsid w:val="006A04C3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convietas">
    <w:name w:val="List Bullet"/>
    <w:basedOn w:val="Normal"/>
    <w:uiPriority w:val="99"/>
    <w:unhideWhenUsed/>
    <w:rsid w:val="0058696B"/>
    <w:pPr>
      <w:numPr>
        <w:numId w:val="3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Revisin">
    <w:name w:val="Revision"/>
    <w:hidden/>
    <w:uiPriority w:val="99"/>
    <w:semiHidden/>
    <w:rsid w:val="0057477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535B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6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5E24-3046-4FE1-8A3F-65A054F7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1192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Valentina Vanegas Ramirez</dc:creator>
  <cp:keywords/>
  <dc:description/>
  <cp:lastModifiedBy>Cindy Johana Arango Román</cp:lastModifiedBy>
  <cp:revision>3</cp:revision>
  <cp:lastPrinted>2025-06-27T14:33:00Z</cp:lastPrinted>
  <dcterms:created xsi:type="dcterms:W3CDTF">2025-10-28T21:58:00Z</dcterms:created>
  <dcterms:modified xsi:type="dcterms:W3CDTF">2025-10-28T22:00:00Z</dcterms:modified>
</cp:coreProperties>
</file>