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A478" w14:textId="77777777" w:rsidR="00B71AFE" w:rsidRPr="00B71AFE" w:rsidRDefault="00B71AFE" w:rsidP="00B71AFE">
      <w:pPr>
        <w:jc w:val="center"/>
        <w:rPr>
          <w:rFonts w:cstheme="minorHAnsi"/>
          <w:b/>
          <w:bCs/>
        </w:rPr>
      </w:pPr>
    </w:p>
    <w:p w14:paraId="47895ECB" w14:textId="5DAAB57A" w:rsidR="00B71AFE" w:rsidRPr="00B71AFE" w:rsidRDefault="00B71AFE" w:rsidP="00B71AFE">
      <w:pPr>
        <w:jc w:val="center"/>
        <w:rPr>
          <w:rFonts w:cstheme="minorHAnsi"/>
          <w:b/>
          <w:bCs/>
        </w:rPr>
      </w:pPr>
      <w:r w:rsidRPr="00B71AFE">
        <w:rPr>
          <w:rFonts w:cstheme="minorHAnsi"/>
          <w:b/>
          <w:bCs/>
        </w:rPr>
        <w:t>SOLICITUD PRIVADA DE OFERTA No. 2023-</w:t>
      </w:r>
      <w:r w:rsidR="00B2056E">
        <w:rPr>
          <w:rFonts w:cstheme="minorHAnsi"/>
          <w:b/>
          <w:bCs/>
        </w:rPr>
        <w:t>86</w:t>
      </w:r>
    </w:p>
    <w:p w14:paraId="7C066B5B" w14:textId="77777777" w:rsidR="00B71AFE" w:rsidRPr="00B71AFE" w:rsidRDefault="00B71AFE" w:rsidP="00B71AFE">
      <w:pPr>
        <w:jc w:val="center"/>
        <w:rPr>
          <w:rFonts w:cstheme="minorHAnsi"/>
          <w:b/>
          <w:bCs/>
        </w:rPr>
      </w:pPr>
    </w:p>
    <w:p w14:paraId="5C63860C" w14:textId="047BFFA3" w:rsidR="00B71AFE" w:rsidRPr="00B2056E" w:rsidRDefault="00B71AFE" w:rsidP="00B2056E">
      <w:pPr>
        <w:jc w:val="both"/>
        <w:rPr>
          <w:rFonts w:eastAsia="Calibri" w:cstheme="minorHAnsi"/>
          <w:lang w:val="es-CO"/>
        </w:rPr>
      </w:pPr>
      <w:r w:rsidRPr="00B71AFE">
        <w:rPr>
          <w:rFonts w:cstheme="minorHAnsi"/>
        </w:rPr>
        <w:t xml:space="preserve">Objeto: </w:t>
      </w:r>
      <w:r w:rsidR="00B2056E">
        <w:rPr>
          <w:rFonts w:cstheme="minorHAnsi"/>
        </w:rPr>
        <w:t>“</w:t>
      </w:r>
      <w:r w:rsidR="00B2056E" w:rsidRPr="00B2056E">
        <w:rPr>
          <w:rFonts w:eastAsia="Calibri" w:cstheme="minorHAnsi"/>
          <w:lang w:val="es-CO"/>
        </w:rPr>
        <w:t>Fortalecimiento del sistema eléctrico, el rendimiento de los servidores</w:t>
      </w:r>
      <w:r w:rsidR="00B2056E">
        <w:rPr>
          <w:rFonts w:eastAsia="Calibri" w:cstheme="minorHAnsi"/>
          <w:lang w:val="es-CO"/>
        </w:rPr>
        <w:t xml:space="preserve"> </w:t>
      </w:r>
      <w:r w:rsidR="00B2056E" w:rsidRPr="00B2056E">
        <w:rPr>
          <w:rFonts w:eastAsia="Calibri" w:cstheme="minorHAnsi"/>
          <w:lang w:val="es-CO"/>
        </w:rPr>
        <w:t>y habilitación de la capacidad de almacenamiento del servidor de administración de virtualización</w:t>
      </w:r>
      <w:r w:rsidR="00B2056E">
        <w:rPr>
          <w:rFonts w:eastAsia="Calibri" w:cstheme="minorHAnsi"/>
          <w:lang w:val="es-CO"/>
        </w:rPr>
        <w:t xml:space="preserve"> </w:t>
      </w:r>
      <w:r w:rsidR="00B2056E" w:rsidRPr="00B2056E">
        <w:rPr>
          <w:rFonts w:eastAsia="Calibri" w:cstheme="minorHAnsi"/>
          <w:lang w:val="es-CO"/>
        </w:rPr>
        <w:t>para el Data center para soportar los puntos nuevos en la ampliación del proyecto Zonas Seguras III</w:t>
      </w:r>
      <w:r w:rsidR="00B2056E">
        <w:rPr>
          <w:rFonts w:eastAsia="Calibri" w:cstheme="minorHAnsi"/>
          <w:lang w:val="es-CO"/>
        </w:rPr>
        <w:t xml:space="preserve"> </w:t>
      </w:r>
      <w:r w:rsidR="00B2056E" w:rsidRPr="00B2056E">
        <w:rPr>
          <w:rFonts w:eastAsia="Calibri" w:cstheme="minorHAnsi"/>
          <w:lang w:val="es-CO"/>
        </w:rPr>
        <w:t>y IV del distrito especial de ciencia tecnología e innovación de Medellín - secretaría de seguridad y</w:t>
      </w:r>
      <w:r w:rsidR="00B2056E">
        <w:rPr>
          <w:rFonts w:eastAsia="Calibri" w:cstheme="minorHAnsi"/>
          <w:lang w:val="es-CO"/>
        </w:rPr>
        <w:t xml:space="preserve"> </w:t>
      </w:r>
      <w:r w:rsidR="00B2056E" w:rsidRPr="00B2056E">
        <w:rPr>
          <w:rFonts w:eastAsia="Calibri" w:cstheme="minorHAnsi"/>
          <w:lang w:val="es-CO"/>
        </w:rPr>
        <w:t>convivencia</w:t>
      </w:r>
      <w:r w:rsidR="00B2056E">
        <w:rPr>
          <w:rFonts w:eastAsia="Calibri" w:cstheme="minorHAnsi"/>
          <w:lang w:val="es-CO"/>
        </w:rPr>
        <w:t>”.</w:t>
      </w:r>
    </w:p>
    <w:p w14:paraId="1EFF61F2" w14:textId="2C549D3E" w:rsidR="00B71AFE" w:rsidRDefault="00B71AFE" w:rsidP="00B71AFE">
      <w:pPr>
        <w:jc w:val="both"/>
        <w:rPr>
          <w:rFonts w:cstheme="minorHAnsi"/>
        </w:rPr>
      </w:pPr>
      <w:r w:rsidRPr="00B71AFE">
        <w:rPr>
          <w:rFonts w:cstheme="minorHAnsi"/>
        </w:rPr>
        <w:t xml:space="preserve">De conformidad con lo dispuesto en el Artículo 5 del Decreto 1860 de 2021, esta contratación es susceptible de ser limitada a </w:t>
      </w:r>
      <w:proofErr w:type="spellStart"/>
      <w:r w:rsidRPr="00B71AFE">
        <w:rPr>
          <w:rFonts w:cstheme="minorHAnsi"/>
        </w:rPr>
        <w:t>Mipyme</w:t>
      </w:r>
      <w:proofErr w:type="spellEnd"/>
      <w:r w:rsidRPr="00B71AFE">
        <w:rPr>
          <w:rFonts w:cstheme="minorHAnsi"/>
        </w:rPr>
        <w:t>. Las condiciones especiales para su solicitud y eventual procedencia están definidas en el numeral 3.2 del pliego de condiciones</w:t>
      </w:r>
      <w:r w:rsidR="00B2056E">
        <w:rPr>
          <w:rFonts w:cstheme="minorHAnsi"/>
        </w:rPr>
        <w:t xml:space="preserve"> aclarado en la Adenda </w:t>
      </w:r>
      <w:proofErr w:type="spellStart"/>
      <w:r w:rsidR="00B2056E">
        <w:rPr>
          <w:rFonts w:cstheme="minorHAnsi"/>
        </w:rPr>
        <w:t>N°</w:t>
      </w:r>
      <w:proofErr w:type="spellEnd"/>
      <w:r w:rsidR="00B2056E">
        <w:rPr>
          <w:rFonts w:cstheme="minorHAnsi"/>
        </w:rPr>
        <w:t xml:space="preserve"> 1 que expresa lo siguiente:</w:t>
      </w:r>
    </w:p>
    <w:p w14:paraId="0BF47184" w14:textId="2980E724" w:rsidR="00B2056E" w:rsidRPr="00B2056E" w:rsidRDefault="00B2056E" w:rsidP="00B2056E">
      <w:pPr>
        <w:jc w:val="both"/>
        <w:rPr>
          <w:rFonts w:cstheme="minorHAnsi"/>
          <w:i/>
          <w:iCs/>
        </w:rPr>
      </w:pPr>
      <w:r>
        <w:rPr>
          <w:rFonts w:cstheme="minorHAnsi"/>
          <w:b/>
          <w:bCs/>
        </w:rPr>
        <w:t>“</w:t>
      </w:r>
      <w:r w:rsidRPr="00B2056E">
        <w:rPr>
          <w:rFonts w:cstheme="minorHAnsi"/>
          <w:b/>
          <w:bCs/>
          <w:i/>
          <w:iCs/>
        </w:rPr>
        <w:t>3.2 Convocatoria limitada a MiPymes.</w:t>
      </w:r>
    </w:p>
    <w:p w14:paraId="24FE58A6" w14:textId="5FFC3EC3" w:rsidR="00B2056E" w:rsidRDefault="00B2056E" w:rsidP="00B2056E">
      <w:pPr>
        <w:jc w:val="both"/>
        <w:rPr>
          <w:rFonts w:cstheme="minorHAnsi"/>
          <w:i/>
          <w:iCs/>
        </w:rPr>
      </w:pPr>
      <w:r w:rsidRPr="00B2056E">
        <w:rPr>
          <w:rFonts w:cstheme="minorHAnsi"/>
          <w:i/>
          <w:iCs/>
        </w:rPr>
        <w:t>De conformidad con lo dispuesto en el Artículo 5 del Decreto 1860 de 2021, esta contratación</w:t>
      </w:r>
      <w:r w:rsidRPr="00B2056E">
        <w:rPr>
          <w:rFonts w:cstheme="minorHAnsi"/>
          <w:i/>
          <w:iCs/>
        </w:rPr>
        <w:t xml:space="preserve"> </w:t>
      </w:r>
      <w:r w:rsidRPr="00B2056E">
        <w:rPr>
          <w:rFonts w:cstheme="minorHAnsi"/>
          <w:i/>
          <w:iCs/>
        </w:rPr>
        <w:t>es susceptible de ser limitada a MiPymes. Para el efecto se tendrán en cuenta los siguientes</w:t>
      </w:r>
      <w:r>
        <w:rPr>
          <w:rFonts w:cstheme="minorHAnsi"/>
          <w:i/>
          <w:iCs/>
        </w:rPr>
        <w:t xml:space="preserve"> </w:t>
      </w:r>
      <w:r w:rsidRPr="00B2056E">
        <w:rPr>
          <w:rFonts w:cstheme="minorHAnsi"/>
          <w:i/>
          <w:iCs/>
        </w:rPr>
        <w:t>aspectos:</w:t>
      </w:r>
    </w:p>
    <w:p w14:paraId="1612A1A8" w14:textId="51C045C0" w:rsidR="00B2056E" w:rsidRPr="00B2056E" w:rsidRDefault="00B2056E" w:rsidP="00B2056E">
      <w:pPr>
        <w:jc w:val="both"/>
        <w:rPr>
          <w:rFonts w:cstheme="minorHAnsi"/>
          <w:i/>
          <w:iCs/>
        </w:rPr>
      </w:pPr>
      <w:r w:rsidRPr="00B2056E">
        <w:rPr>
          <w:rFonts w:cstheme="minorHAnsi"/>
          <w:i/>
          <w:iCs/>
        </w:rPr>
        <w:t xml:space="preserve">2. La Entidad Estatal haya recibido solicitudes de por lo </w:t>
      </w:r>
      <w:r w:rsidRPr="00B2056E">
        <w:rPr>
          <w:rFonts w:cstheme="minorHAnsi"/>
          <w:i/>
          <w:iCs/>
          <w:u w:val="single"/>
        </w:rPr>
        <w:t>menos dos (2) MiPymes</w:t>
      </w:r>
      <w:r w:rsidRPr="00B2056E">
        <w:rPr>
          <w:rFonts w:cstheme="minorHAnsi"/>
          <w:i/>
          <w:iCs/>
        </w:rPr>
        <w:t xml:space="preserve"> colombianas para limitar la convocatoria a MiPymes colombianas. La Entidad Estatal recibirá estas solicitudes el día hábil establecido en el cronograma del proceso</w:t>
      </w:r>
      <w:r>
        <w:rPr>
          <w:rFonts w:cstheme="minorHAnsi"/>
          <w:i/>
          <w:iCs/>
        </w:rPr>
        <w:t>”</w:t>
      </w:r>
      <w:r w:rsidRPr="00B2056E">
        <w:rPr>
          <w:rFonts w:cstheme="minorHAnsi"/>
          <w:i/>
          <w:iCs/>
        </w:rPr>
        <w:t>.</w:t>
      </w:r>
    </w:p>
    <w:p w14:paraId="49CBE873" w14:textId="2EB48D83" w:rsidR="00B2056E" w:rsidRDefault="00B71AFE" w:rsidP="00B71AFE">
      <w:pPr>
        <w:jc w:val="both"/>
        <w:rPr>
          <w:rFonts w:cstheme="minorHAnsi"/>
        </w:rPr>
      </w:pPr>
      <w:r w:rsidRPr="00B71AFE">
        <w:rPr>
          <w:rFonts w:cstheme="minorHAnsi"/>
        </w:rPr>
        <w:t xml:space="preserve">Dentro del término previsto, </w:t>
      </w:r>
      <w:r w:rsidR="00B2056E">
        <w:rPr>
          <w:rFonts w:cstheme="minorHAnsi"/>
        </w:rPr>
        <w:t>solo hubo una</w:t>
      </w:r>
      <w:r w:rsidRPr="00B71AFE">
        <w:rPr>
          <w:rFonts w:cstheme="minorHAnsi"/>
        </w:rPr>
        <w:t xml:space="preserve"> </w:t>
      </w:r>
      <w:r w:rsidR="00B2056E" w:rsidRPr="00B71AFE">
        <w:rPr>
          <w:rFonts w:cstheme="minorHAnsi"/>
        </w:rPr>
        <w:t>manifestación de</w:t>
      </w:r>
      <w:r w:rsidRPr="00B71AFE">
        <w:rPr>
          <w:rFonts w:cstheme="minorHAnsi"/>
        </w:rPr>
        <w:t xml:space="preserve"> interés por parte de </w:t>
      </w:r>
      <w:proofErr w:type="spellStart"/>
      <w:r w:rsidRPr="00B71AFE">
        <w:rPr>
          <w:rFonts w:cstheme="minorHAnsi"/>
        </w:rPr>
        <w:t>Mipyme</w:t>
      </w:r>
      <w:proofErr w:type="spellEnd"/>
      <w:r w:rsidRPr="00B71AFE">
        <w:rPr>
          <w:rFonts w:cstheme="minorHAnsi"/>
        </w:rPr>
        <w:t xml:space="preserve">, por lo que el presente proceso de selección de contratistas no se limitará a </w:t>
      </w:r>
      <w:proofErr w:type="spellStart"/>
      <w:r w:rsidRPr="00B71AFE">
        <w:rPr>
          <w:rFonts w:cstheme="minorHAnsi"/>
        </w:rPr>
        <w:t>Mipyme</w:t>
      </w:r>
      <w:proofErr w:type="spellEnd"/>
      <w:r w:rsidRPr="00B71AFE">
        <w:rPr>
          <w:rFonts w:cstheme="minorHAnsi"/>
        </w:rPr>
        <w:t xml:space="preserve">, en coherencia </w:t>
      </w:r>
      <w:r w:rsidR="00B2056E">
        <w:rPr>
          <w:rFonts w:cstheme="minorHAnsi"/>
        </w:rPr>
        <w:t>a</w:t>
      </w:r>
      <w:r w:rsidRPr="00B71AFE">
        <w:rPr>
          <w:rFonts w:cstheme="minorHAnsi"/>
        </w:rPr>
        <w:t xml:space="preserve"> </w:t>
      </w:r>
      <w:r w:rsidR="00B2056E">
        <w:rPr>
          <w:rFonts w:cstheme="minorHAnsi"/>
        </w:rPr>
        <w:t>lo expresado anteriormente en el numeral 3.2.</w:t>
      </w:r>
    </w:p>
    <w:p w14:paraId="6FDD219A" w14:textId="77777777" w:rsidR="00B2056E" w:rsidRPr="00B71AFE" w:rsidRDefault="00B2056E" w:rsidP="00B71AFE">
      <w:pPr>
        <w:jc w:val="both"/>
        <w:rPr>
          <w:rFonts w:cstheme="minorHAns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27"/>
        <w:gridCol w:w="4867"/>
      </w:tblGrid>
      <w:tr w:rsidR="00B71AFE" w:rsidRPr="00B71AFE" w14:paraId="373042F3" w14:textId="77777777" w:rsidTr="00FD0DCD">
        <w:trPr>
          <w:trHeight w:val="428"/>
        </w:trPr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BC986C" w14:textId="77777777" w:rsidR="00B71AFE" w:rsidRPr="00B71AFE" w:rsidRDefault="00B71AFE" w:rsidP="00FD0DCD">
            <w:pPr>
              <w:ind w:left="567"/>
              <w:jc w:val="center"/>
              <w:rPr>
                <w:rFonts w:cstheme="minorHAnsi"/>
                <w:b/>
                <w:bCs/>
              </w:rPr>
            </w:pPr>
            <w:r w:rsidRPr="00B71AFE">
              <w:rPr>
                <w:rFonts w:cstheme="minorHAnsi"/>
                <w:b/>
                <w:bCs/>
              </w:rPr>
              <w:t xml:space="preserve">Acreditación para convocatorias limitadas a </w:t>
            </w:r>
            <w:proofErr w:type="spellStart"/>
            <w:r w:rsidRPr="00B71AFE">
              <w:rPr>
                <w:rFonts w:cstheme="minorHAnsi"/>
                <w:b/>
                <w:bCs/>
              </w:rPr>
              <w:t>Mipyme</w:t>
            </w:r>
            <w:proofErr w:type="spellEnd"/>
          </w:p>
        </w:tc>
      </w:tr>
      <w:tr w:rsidR="00B71AFE" w:rsidRPr="00B71AFE" w14:paraId="76122E0A" w14:textId="77777777" w:rsidTr="00FD0DCD">
        <w:trPr>
          <w:trHeight w:val="416"/>
        </w:trPr>
        <w:tc>
          <w:tcPr>
            <w:tcW w:w="2135" w:type="pct"/>
            <w:shd w:val="clear" w:color="auto" w:fill="F2F2F2" w:themeFill="background1" w:themeFillShade="F2"/>
          </w:tcPr>
          <w:p w14:paraId="51852457" w14:textId="77777777" w:rsidR="00B71AFE" w:rsidRPr="00B71AFE" w:rsidRDefault="00B71AFE" w:rsidP="00FD0DCD">
            <w:pPr>
              <w:jc w:val="center"/>
              <w:rPr>
                <w:rFonts w:cstheme="minorHAnsi"/>
              </w:rPr>
            </w:pPr>
            <w:r w:rsidRPr="00B71AFE">
              <w:rPr>
                <w:rFonts w:cstheme="minorHAnsi"/>
              </w:rPr>
              <w:t>Requisito</w:t>
            </w:r>
          </w:p>
        </w:tc>
        <w:tc>
          <w:tcPr>
            <w:tcW w:w="2865" w:type="pct"/>
            <w:shd w:val="clear" w:color="auto" w:fill="F2F2F2" w:themeFill="background1" w:themeFillShade="F2"/>
          </w:tcPr>
          <w:p w14:paraId="7BD0030E" w14:textId="77777777" w:rsidR="00B71AFE" w:rsidRPr="00B71AFE" w:rsidRDefault="00B71AFE" w:rsidP="00FD0DCD">
            <w:pPr>
              <w:jc w:val="center"/>
              <w:rPr>
                <w:rFonts w:cstheme="minorHAnsi"/>
              </w:rPr>
            </w:pPr>
            <w:r w:rsidRPr="00B71AFE">
              <w:rPr>
                <w:rFonts w:cstheme="minorHAnsi"/>
              </w:rPr>
              <w:t>Forma de acreditación</w:t>
            </w:r>
          </w:p>
        </w:tc>
      </w:tr>
      <w:tr w:rsidR="00B71AFE" w:rsidRPr="00B71AFE" w14:paraId="2BBE57E6" w14:textId="77777777" w:rsidTr="00FD0DCD">
        <w:tc>
          <w:tcPr>
            <w:tcW w:w="2135" w:type="pct"/>
          </w:tcPr>
          <w:p w14:paraId="327D1C83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proofErr w:type="spellStart"/>
            <w:r w:rsidRPr="00B71AFE">
              <w:rPr>
                <w:rFonts w:cstheme="minorHAnsi"/>
              </w:rPr>
              <w:t>Mipyme</w:t>
            </w:r>
            <w:proofErr w:type="spellEnd"/>
            <w:r w:rsidRPr="00B71AFE">
              <w:rPr>
                <w:rFonts w:cstheme="minorHAnsi"/>
              </w:rPr>
              <w:t xml:space="preserve"> colombiana con mínimo un (1) año de existencia.</w:t>
            </w:r>
          </w:p>
          <w:p w14:paraId="04BB9034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</w:p>
          <w:p w14:paraId="2A97E0BA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t>Acreditar el tamaño empresarial.</w:t>
            </w:r>
          </w:p>
        </w:tc>
        <w:tc>
          <w:tcPr>
            <w:tcW w:w="2865" w:type="pct"/>
          </w:tcPr>
          <w:p w14:paraId="1F94FE23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t>Personas naturales: certificación expedida por ellos y un contador público, adjuntando copia del registro mercantil.</w:t>
            </w:r>
          </w:p>
          <w:p w14:paraId="31E651E4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</w:p>
          <w:p w14:paraId="6BE0751D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t xml:space="preserve">Personas jurídicas: certificación expedida por el representante legal y el contador o revisor fiscal, si están obligados a tenerlo, adjuntando copia del certificado de existencia y representación legal expedido por la Cámara de Comercio o por la autoridad competente para expedir dicha certificación. </w:t>
            </w:r>
          </w:p>
          <w:p w14:paraId="1CF9B8D9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</w:p>
          <w:p w14:paraId="3335121B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t xml:space="preserve">Para la acreditación deben observarse los rangos de clasificación empresarial establecidos de </w:t>
            </w:r>
            <w:r w:rsidRPr="00B71AFE">
              <w:rPr>
                <w:rFonts w:cstheme="minorHAnsi"/>
              </w:rPr>
              <w:lastRenderedPageBreak/>
              <w:t>conformidad con la ley 590 de 2000 y el Decreto 1074 de 2015, o las normas que lo modifiquen, sustituyan o complementen</w:t>
            </w:r>
          </w:p>
          <w:p w14:paraId="16047545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</w:p>
          <w:p w14:paraId="44139B47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t>También podrán acreditarse esta condición con copia del certificado del Registro Único de Proponentes, el cual deberá encontrarse vigente y en firme al momento de su presentación.</w:t>
            </w:r>
          </w:p>
          <w:p w14:paraId="3F38CA03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</w:p>
          <w:p w14:paraId="00AA990E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t>La fecha de los documentos será de máximo (60) días calendario anteriores a la prevista en el cronograma del Proceso de Contratación para el inicio del plazo para solicitar la convocatoria.</w:t>
            </w:r>
          </w:p>
        </w:tc>
      </w:tr>
      <w:tr w:rsidR="00B71AFE" w:rsidRPr="00B71AFE" w14:paraId="6F12755D" w14:textId="77777777" w:rsidTr="00FD0DCD">
        <w:tc>
          <w:tcPr>
            <w:tcW w:w="2135" w:type="pct"/>
          </w:tcPr>
          <w:p w14:paraId="403ED3AB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lastRenderedPageBreak/>
              <w:t xml:space="preserve">Si la solicitud la realiza una persona jurídica </w:t>
            </w:r>
            <w:proofErr w:type="spellStart"/>
            <w:r w:rsidRPr="00B71AFE">
              <w:rPr>
                <w:rFonts w:cstheme="minorHAnsi"/>
              </w:rPr>
              <w:t>Mipyme</w:t>
            </w:r>
            <w:proofErr w:type="spellEnd"/>
            <w:r w:rsidRPr="00B71AFE">
              <w:rPr>
                <w:rFonts w:cstheme="minorHAnsi"/>
              </w:rPr>
              <w:t xml:space="preserve"> su objeto social debe permitirle ejecutar el contrato relacionado con el proceso contractual</w:t>
            </w:r>
          </w:p>
        </w:tc>
        <w:tc>
          <w:tcPr>
            <w:tcW w:w="2865" w:type="pct"/>
          </w:tcPr>
          <w:p w14:paraId="454B268B" w14:textId="77777777" w:rsidR="00B71AFE" w:rsidRPr="00B71AFE" w:rsidRDefault="00B71AFE" w:rsidP="00FD0DCD">
            <w:pPr>
              <w:jc w:val="both"/>
              <w:rPr>
                <w:rFonts w:cstheme="minorHAnsi"/>
              </w:rPr>
            </w:pPr>
            <w:r w:rsidRPr="00B71AFE">
              <w:rPr>
                <w:rFonts w:cstheme="minorHAnsi"/>
              </w:rPr>
              <w:t>Verificar el objeto social en el certificado de existencia y representación legal expedido por la Cámara de Comercio o por la autoridad competente para expedir dicha certificación.</w:t>
            </w:r>
          </w:p>
        </w:tc>
      </w:tr>
    </w:tbl>
    <w:p w14:paraId="115F0430" w14:textId="77777777" w:rsidR="00B2056E" w:rsidRDefault="00B2056E" w:rsidP="00B2056E">
      <w:pPr>
        <w:autoSpaceDE w:val="0"/>
        <w:autoSpaceDN w:val="0"/>
        <w:adjustRightInd w:val="0"/>
        <w:jc w:val="both"/>
        <w:rPr>
          <w:rFonts w:cstheme="minorHAnsi"/>
        </w:rPr>
      </w:pPr>
    </w:p>
    <w:p w14:paraId="7EBAE20B" w14:textId="77777777" w:rsidR="00B2056E" w:rsidRPr="00B71AFE" w:rsidRDefault="00B2056E" w:rsidP="00B2056E">
      <w:pPr>
        <w:autoSpaceDE w:val="0"/>
        <w:autoSpaceDN w:val="0"/>
        <w:adjustRightInd w:val="0"/>
        <w:jc w:val="both"/>
        <w:rPr>
          <w:rFonts w:cstheme="minorHAnsi"/>
        </w:rPr>
      </w:pPr>
    </w:p>
    <w:p w14:paraId="05306701" w14:textId="77777777" w:rsidR="00B2056E" w:rsidRDefault="00B2056E" w:rsidP="00B2056E">
      <w:pPr>
        <w:jc w:val="both"/>
        <w:rPr>
          <w:rFonts w:cstheme="minorHAnsi"/>
        </w:rPr>
      </w:pPr>
      <w:r w:rsidRPr="00B71AFE">
        <w:rPr>
          <w:rFonts w:cstheme="minorHAnsi"/>
        </w:rPr>
        <w:t>Comité Evaluador</w:t>
      </w:r>
    </w:p>
    <w:p w14:paraId="12C1BFB2" w14:textId="24404215" w:rsidR="00B2056E" w:rsidRPr="00B71AFE" w:rsidRDefault="00B2056E"/>
    <w:sectPr w:rsidR="00BE1EFE" w:rsidRPr="00B71AF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191B" w14:textId="77777777" w:rsidR="00B2056E" w:rsidRDefault="00B2056E">
      <w:pPr>
        <w:spacing w:after="0" w:line="240" w:lineRule="auto"/>
      </w:pPr>
      <w:r>
        <w:separator/>
      </w:r>
    </w:p>
  </w:endnote>
  <w:endnote w:type="continuationSeparator" w:id="0">
    <w:p w14:paraId="5F5AF38D" w14:textId="77777777" w:rsidR="00B2056E" w:rsidRDefault="00B2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E653" w14:textId="77777777" w:rsidR="00B2056E" w:rsidRDefault="00B2056E">
      <w:pPr>
        <w:spacing w:after="0" w:line="240" w:lineRule="auto"/>
      </w:pPr>
      <w:r>
        <w:separator/>
      </w:r>
    </w:p>
  </w:footnote>
  <w:footnote w:type="continuationSeparator" w:id="0">
    <w:p w14:paraId="6A385AC4" w14:textId="77777777" w:rsidR="00B2056E" w:rsidRDefault="00B20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926" w:type="dxa"/>
      <w:tblInd w:w="-7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90"/>
      <w:gridCol w:w="5382"/>
      <w:gridCol w:w="2554"/>
    </w:tblGrid>
    <w:tr w:rsidR="00ED5FBA" w14:paraId="63C5CFBF" w14:textId="77777777" w:rsidTr="00ED5FBA">
      <w:trPr>
        <w:trHeight w:val="414"/>
      </w:trPr>
      <w:tc>
        <w:tcPr>
          <w:tcW w:w="1990" w:type="dxa"/>
          <w:vMerge w:val="restart"/>
        </w:tcPr>
        <w:p w14:paraId="53623A86" w14:textId="77777777" w:rsidR="00B2056E" w:rsidRDefault="00B2056E" w:rsidP="00ED5FBA">
          <w:pPr>
            <w:pStyle w:val="TableParagraph"/>
            <w:spacing w:before="10" w:line="240" w:lineRule="auto"/>
            <w:ind w:left="0"/>
            <w:rPr>
              <w:rFonts w:ascii="Times New Roman"/>
              <w:sz w:val="7"/>
            </w:rPr>
          </w:pPr>
        </w:p>
        <w:p w14:paraId="7A6C15A5" w14:textId="77777777" w:rsidR="00B2056E" w:rsidRDefault="00B2056E" w:rsidP="00ED5FBA">
          <w:pPr>
            <w:pStyle w:val="TableParagraph"/>
            <w:spacing w:line="240" w:lineRule="auto"/>
            <w:ind w:left="372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7F1D6002" wp14:editId="24F91A93">
                <wp:extent cx="693030" cy="792099"/>
                <wp:effectExtent l="0" t="0" r="0" b="0"/>
                <wp:docPr id="1" name="image1.png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tipo&#10;&#10;Descripción generada automáticament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030" cy="792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2" w:type="dxa"/>
          <w:vMerge w:val="restart"/>
        </w:tcPr>
        <w:p w14:paraId="1F875B85" w14:textId="77777777" w:rsidR="00B2056E" w:rsidRDefault="00B2056E" w:rsidP="00ED5FBA">
          <w:pPr>
            <w:pStyle w:val="TableParagraph"/>
            <w:spacing w:line="240" w:lineRule="auto"/>
            <w:ind w:left="0"/>
            <w:rPr>
              <w:rFonts w:ascii="Times New Roman"/>
              <w:sz w:val="24"/>
            </w:rPr>
          </w:pPr>
        </w:p>
        <w:p w14:paraId="26CECB78" w14:textId="77777777" w:rsidR="00B2056E" w:rsidRDefault="00B2056E" w:rsidP="00ED5FBA">
          <w:pPr>
            <w:pStyle w:val="TableParagraph"/>
            <w:spacing w:before="1" w:line="240" w:lineRule="auto"/>
            <w:ind w:left="0"/>
            <w:rPr>
              <w:rFonts w:ascii="Times New Roman"/>
              <w:sz w:val="23"/>
            </w:rPr>
          </w:pPr>
        </w:p>
        <w:p w14:paraId="66607F60" w14:textId="77777777" w:rsidR="00B2056E" w:rsidRDefault="00B2056E" w:rsidP="00ED5FBA">
          <w:pPr>
            <w:pStyle w:val="TableParagraph"/>
            <w:spacing w:line="240" w:lineRule="auto"/>
            <w:ind w:left="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AVISO</w:t>
          </w:r>
        </w:p>
      </w:tc>
      <w:tc>
        <w:tcPr>
          <w:tcW w:w="2554" w:type="dxa"/>
        </w:tcPr>
        <w:p w14:paraId="1F037C57" w14:textId="77777777" w:rsidR="00B2056E" w:rsidRDefault="00B2056E" w:rsidP="00ED5FBA">
          <w:pPr>
            <w:pStyle w:val="TableParagraph"/>
            <w:spacing w:before="93" w:line="240" w:lineRule="auto"/>
            <w:ind w:left="71"/>
            <w:rPr>
              <w:rFonts w:ascii="Arial MT" w:hAnsi="Arial MT"/>
              <w:sz w:val="20"/>
            </w:rPr>
          </w:pPr>
          <w:r>
            <w:rPr>
              <w:rFonts w:ascii="Arial" w:hAnsi="Arial"/>
              <w:b/>
              <w:sz w:val="20"/>
            </w:rPr>
            <w:t>Código</w:t>
          </w:r>
          <w:r>
            <w:rPr>
              <w:rFonts w:ascii="Arial MT" w:hAnsi="Arial MT"/>
              <w:sz w:val="20"/>
            </w:rPr>
            <w:t>:</w:t>
          </w:r>
          <w:r>
            <w:rPr>
              <w:rFonts w:ascii="Arial MT" w:hAnsi="Arial MT"/>
              <w:spacing w:val="-5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FT-M3-GJ-26</w:t>
          </w:r>
        </w:p>
      </w:tc>
    </w:tr>
    <w:tr w:rsidR="00ED5FBA" w14:paraId="1BBFCBC3" w14:textId="77777777" w:rsidTr="00ED5FBA">
      <w:trPr>
        <w:trHeight w:val="424"/>
      </w:trPr>
      <w:tc>
        <w:tcPr>
          <w:tcW w:w="1990" w:type="dxa"/>
          <w:vMerge/>
          <w:tcBorders>
            <w:top w:val="nil"/>
          </w:tcBorders>
        </w:tcPr>
        <w:p w14:paraId="36BFD0CB" w14:textId="77777777" w:rsidR="00B2056E" w:rsidRDefault="00B2056E" w:rsidP="00ED5FBA">
          <w:pPr>
            <w:rPr>
              <w:sz w:val="2"/>
              <w:szCs w:val="2"/>
            </w:rPr>
          </w:pPr>
        </w:p>
      </w:tc>
      <w:tc>
        <w:tcPr>
          <w:tcW w:w="5382" w:type="dxa"/>
          <w:vMerge/>
          <w:tcBorders>
            <w:top w:val="nil"/>
          </w:tcBorders>
        </w:tcPr>
        <w:p w14:paraId="77B9BFA1" w14:textId="77777777" w:rsidR="00B2056E" w:rsidRDefault="00B2056E" w:rsidP="00ED5FBA">
          <w:pPr>
            <w:rPr>
              <w:sz w:val="2"/>
              <w:szCs w:val="2"/>
            </w:rPr>
          </w:pPr>
        </w:p>
      </w:tc>
      <w:tc>
        <w:tcPr>
          <w:tcW w:w="2554" w:type="dxa"/>
        </w:tcPr>
        <w:p w14:paraId="2BF9730F" w14:textId="77777777" w:rsidR="00B2056E" w:rsidRDefault="00B2056E" w:rsidP="00ED5FBA">
          <w:pPr>
            <w:pStyle w:val="TableParagraph"/>
            <w:spacing w:before="95" w:line="240" w:lineRule="auto"/>
            <w:ind w:left="109"/>
            <w:rPr>
              <w:rFonts w:ascii="Arial MT" w:hAnsi="Arial MT"/>
              <w:sz w:val="20"/>
            </w:rPr>
          </w:pPr>
          <w:r>
            <w:rPr>
              <w:rFonts w:ascii="Arial" w:hAnsi="Arial"/>
              <w:b/>
              <w:sz w:val="20"/>
            </w:rPr>
            <w:t>Versión:</w:t>
          </w:r>
          <w:r>
            <w:rPr>
              <w:rFonts w:ascii="Arial" w:hAnsi="Arial"/>
              <w:b/>
              <w:spacing w:val="-2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01</w:t>
          </w:r>
        </w:p>
      </w:tc>
    </w:tr>
    <w:tr w:rsidR="00ED5FBA" w14:paraId="0151AE03" w14:textId="77777777" w:rsidTr="00ED5FBA">
      <w:trPr>
        <w:trHeight w:val="520"/>
      </w:trPr>
      <w:tc>
        <w:tcPr>
          <w:tcW w:w="1990" w:type="dxa"/>
          <w:vMerge/>
          <w:tcBorders>
            <w:top w:val="nil"/>
          </w:tcBorders>
        </w:tcPr>
        <w:p w14:paraId="27F8ABFE" w14:textId="77777777" w:rsidR="00B2056E" w:rsidRDefault="00B2056E" w:rsidP="00ED5FBA">
          <w:pPr>
            <w:rPr>
              <w:sz w:val="2"/>
              <w:szCs w:val="2"/>
            </w:rPr>
          </w:pPr>
        </w:p>
      </w:tc>
      <w:tc>
        <w:tcPr>
          <w:tcW w:w="5382" w:type="dxa"/>
          <w:vMerge/>
          <w:tcBorders>
            <w:top w:val="nil"/>
          </w:tcBorders>
        </w:tcPr>
        <w:p w14:paraId="09EAF2F0" w14:textId="77777777" w:rsidR="00B2056E" w:rsidRDefault="00B2056E" w:rsidP="00ED5FBA">
          <w:pPr>
            <w:rPr>
              <w:sz w:val="2"/>
              <w:szCs w:val="2"/>
            </w:rPr>
          </w:pPr>
        </w:p>
      </w:tc>
      <w:tc>
        <w:tcPr>
          <w:tcW w:w="2554" w:type="dxa"/>
        </w:tcPr>
        <w:p w14:paraId="1576957E" w14:textId="77777777" w:rsidR="00B2056E" w:rsidRDefault="00B2056E" w:rsidP="00ED5FBA">
          <w:pPr>
            <w:pStyle w:val="TableParagraph"/>
            <w:spacing w:before="144" w:line="240" w:lineRule="auto"/>
            <w:ind w:left="109"/>
            <w:rPr>
              <w:rFonts w:ascii="Arial MT" w:hAnsi="Arial MT"/>
              <w:sz w:val="20"/>
            </w:rPr>
          </w:pPr>
          <w:r>
            <w:rPr>
              <w:rFonts w:ascii="Arial MT" w:hAnsi="Arial MT"/>
              <w:sz w:val="20"/>
            </w:rPr>
            <w:t>Página</w:t>
          </w:r>
          <w:r>
            <w:rPr>
              <w:rFonts w:ascii="Arial MT" w:hAnsi="Arial MT"/>
              <w:spacing w:val="-2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1 de</w:t>
          </w:r>
          <w:r>
            <w:rPr>
              <w:rFonts w:ascii="Arial MT" w:hAnsi="Arial MT"/>
              <w:spacing w:val="-2"/>
              <w:sz w:val="20"/>
            </w:rPr>
            <w:t xml:space="preserve"> </w:t>
          </w:r>
          <w:r>
            <w:rPr>
              <w:rFonts w:ascii="Arial MT" w:hAnsi="Arial MT"/>
              <w:sz w:val="20"/>
            </w:rPr>
            <w:t>1</w:t>
          </w:r>
        </w:p>
      </w:tc>
    </w:tr>
  </w:tbl>
  <w:p w14:paraId="358D5526" w14:textId="77777777" w:rsidR="00B2056E" w:rsidRPr="00ED5FBA" w:rsidRDefault="00B2056E" w:rsidP="00ED5FB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FE"/>
    <w:rsid w:val="0034722E"/>
    <w:rsid w:val="006B4837"/>
    <w:rsid w:val="00B2056E"/>
    <w:rsid w:val="00B55F4B"/>
    <w:rsid w:val="00B7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8707"/>
  <w15:chartTrackingRefBased/>
  <w15:docId w15:val="{8252B58A-E4D8-485D-B560-E3607793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AFE"/>
    <w:rPr>
      <w:kern w:val="0"/>
      <w:lang w:val="es-419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1A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1AFE"/>
    <w:rPr>
      <w:kern w:val="0"/>
      <w:lang w:val="es-4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71AF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1AFE"/>
    <w:pPr>
      <w:widowControl w:val="0"/>
      <w:autoSpaceDE w:val="0"/>
      <w:autoSpaceDN w:val="0"/>
      <w:spacing w:after="0" w:line="248" w:lineRule="exact"/>
      <w:ind w:left="69"/>
    </w:pPr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B71A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Henedy johana taborda</dc:creator>
  <cp:keywords/>
  <dc:description/>
  <cp:lastModifiedBy>Natalia Castro Osorio</cp:lastModifiedBy>
  <cp:revision>2</cp:revision>
  <dcterms:created xsi:type="dcterms:W3CDTF">2023-09-26T17:02:00Z</dcterms:created>
  <dcterms:modified xsi:type="dcterms:W3CDTF">2023-09-26T17:02:00Z</dcterms:modified>
</cp:coreProperties>
</file>